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仿宋" w:hAnsi="仿宋" w:eastAsia="仿宋"/>
          <w:color w:val="000000"/>
          <w:sz w:val="24"/>
          <w:shd w:val="clear" w:color="auto" w:fill="FFFFFF"/>
        </w:rPr>
      </w:pPr>
    </w:p>
    <w:p>
      <w:pPr>
        <w:ind w:firstLine="643"/>
        <w:jc w:val="center"/>
        <w:rPr>
          <w:rFonts w:ascii="宋体" w:hAnsi="宋体" w:eastAsia="宋体"/>
          <w:b/>
          <w:bCs/>
          <w:sz w:val="32"/>
          <w:szCs w:val="40"/>
        </w:rPr>
      </w:pPr>
      <w:r>
        <w:rPr>
          <w:rFonts w:hint="eastAsia" w:ascii="宋体" w:hAnsi="宋体" w:eastAsia="宋体"/>
          <w:b/>
          <w:bCs/>
          <w:sz w:val="32"/>
          <w:szCs w:val="40"/>
        </w:rPr>
        <w:t>桥梁集群运营安全监管技术及装备研发</w:t>
      </w:r>
    </w:p>
    <w:p>
      <w:pPr>
        <w:ind w:firstLine="643"/>
        <w:jc w:val="center"/>
        <w:rPr>
          <w:rFonts w:ascii="宋体" w:hAnsi="宋体" w:eastAsia="宋体"/>
          <w:b/>
          <w:bCs/>
          <w:sz w:val="32"/>
          <w:szCs w:val="40"/>
        </w:rPr>
      </w:pPr>
      <w:r>
        <w:rPr>
          <w:rFonts w:hint="eastAsia" w:ascii="宋体" w:hAnsi="宋体" w:eastAsia="宋体"/>
          <w:b/>
          <w:bCs/>
          <w:sz w:val="32"/>
          <w:szCs w:val="40"/>
        </w:rPr>
        <w:t>项目申报指南</w:t>
      </w:r>
    </w:p>
    <w:p>
      <w:pPr>
        <w:ind w:firstLine="692"/>
        <w:jc w:val="center"/>
        <w:rPr>
          <w:rFonts w:ascii="微软雅黑" w:hAnsi="微软雅黑" w:eastAsia="微软雅黑" w:cs="微软雅黑"/>
          <w:spacing w:val="-2"/>
          <w:sz w:val="35"/>
          <w:szCs w:val="35"/>
        </w:rPr>
      </w:pPr>
    </w:p>
    <w:p>
      <w:pPr>
        <w:pStyle w:val="2"/>
        <w:rPr>
          <w:rFonts w:ascii="仿宋" w:hAnsi="仿宋" w:eastAsia="仿宋"/>
        </w:rPr>
      </w:pPr>
      <w:r>
        <w:rPr>
          <w:rFonts w:hint="eastAsia" w:ascii="仿宋" w:hAnsi="仿宋" w:eastAsia="仿宋"/>
        </w:rPr>
        <w:t>一、需求背景</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高速公路是保障城市正常生产、生活的重要载体，是区域经济实力和现代化水平的重要标志，担当着城市生命体系正常运行的“动要素通道”重任。道路、</w:t>
      </w:r>
      <w:bookmarkStart w:id="0" w:name="_GoBack"/>
      <w:bookmarkEnd w:id="0"/>
      <w:r>
        <w:rPr>
          <w:rFonts w:hint="eastAsia" w:ascii="仿宋" w:hAnsi="仿宋" w:eastAsia="仿宋" w:cs="仿宋_GB2312"/>
          <w:snapToGrid w:val="0"/>
          <w:color w:val="000000"/>
          <w:spacing w:val="-6"/>
          <w:kern w:val="0"/>
          <w:sz w:val="24"/>
          <w:szCs w:val="24"/>
        </w:rPr>
        <w:t>桥梁既承载着繁重的交通任务，又面临诸多突发和渐变风险。由于线路长、交通量大、环境复杂、桥梁体量大等因素，导致桥梁的检测管养工作存在巡检频度不高，可达性不好，检测人员安全风险高等问题，</w:t>
      </w:r>
      <w:r>
        <w:rPr>
          <w:rFonts w:ascii="仿宋" w:hAnsi="仿宋" w:eastAsia="仿宋" w:cs="仿宋_GB2312"/>
          <w:snapToGrid w:val="0"/>
          <w:color w:val="000000"/>
          <w:spacing w:val="-6"/>
          <w:kern w:val="0"/>
          <w:sz w:val="24"/>
          <w:szCs w:val="24"/>
        </w:rPr>
        <w:t xml:space="preserve"> </w:t>
      </w:r>
      <w:r>
        <w:rPr>
          <w:rFonts w:hint="eastAsia" w:ascii="仿宋" w:hAnsi="仿宋" w:eastAsia="仿宋" w:cs="仿宋_GB2312"/>
          <w:snapToGrid w:val="0"/>
          <w:color w:val="000000"/>
          <w:spacing w:val="-6"/>
          <w:kern w:val="0"/>
          <w:sz w:val="24"/>
          <w:szCs w:val="24"/>
        </w:rPr>
        <w:t>给桥梁运维管理和安全运营保障增加了困难。</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为贯彻交通运输部关于《“十四五”公路养护管理发展纲要》的精神，落实《公路长大桥梁结构健康监测系统建设实施方案》相关规定，并结合河北高速集团所辖桥梁养管工作的实际情况，需要构建一套智能化、服务功能综合化的现代集群桥梁管养体系，以满足集团高质量桥梁管养工作的需求。</w:t>
      </w:r>
    </w:p>
    <w:p>
      <w:pPr>
        <w:pStyle w:val="2"/>
        <w:rPr>
          <w:rFonts w:hint="eastAsia" w:ascii="仿宋" w:hAnsi="仿宋" w:eastAsia="仿宋"/>
        </w:rPr>
      </w:pPr>
      <w:r>
        <w:rPr>
          <w:rFonts w:hint="eastAsia" w:ascii="仿宋" w:hAnsi="仿宋" w:eastAsia="仿宋"/>
        </w:rPr>
        <w:t>二、需求目标及研究内容</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为有效提高桥梁集群养管的数字化水平，客观、实时地了解所辖桥梁集群的技术状况，防控重大运营安全风险，需进行桥梁安全运营管养相关技术与装备的研发，降低包括时间成本和人工成本在内的检测成本，降低现场养管人员的劳动强度，提高对桥梁集群运营安全的监管能力，提高对运营桥梁安全风险的防控能力。具体开展以下内容研究工作：</w:t>
      </w:r>
    </w:p>
    <w:p>
      <w:pPr>
        <w:spacing w:line="560" w:lineRule="exact"/>
        <w:ind w:firstLine="458" w:firstLineChars="200"/>
        <w:rPr>
          <w:rFonts w:ascii="仿宋" w:hAnsi="仿宋" w:eastAsia="仿宋" w:cs="仿宋_GB2312"/>
          <w:b/>
          <w:bCs/>
          <w:snapToGrid w:val="0"/>
          <w:color w:val="000000"/>
          <w:spacing w:val="-6"/>
          <w:kern w:val="0"/>
          <w:sz w:val="24"/>
          <w:szCs w:val="24"/>
        </w:rPr>
      </w:pPr>
      <w:r>
        <w:rPr>
          <w:rFonts w:hint="eastAsia" w:ascii="仿宋" w:hAnsi="仿宋" w:eastAsia="仿宋" w:cs="仿宋_GB2312"/>
          <w:b/>
          <w:bCs/>
          <w:snapToGrid w:val="0"/>
          <w:color w:val="000000"/>
          <w:spacing w:val="-6"/>
          <w:kern w:val="0"/>
          <w:sz w:val="24"/>
          <w:szCs w:val="24"/>
        </w:rPr>
        <w:t>（一）桥梁运营安全信息感知技术与装备研发</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（1）</w:t>
      </w:r>
      <w:r>
        <w:rPr>
          <w:rFonts w:ascii="仿宋" w:hAnsi="仿宋" w:eastAsia="仿宋" w:cs="仿宋_GB2312"/>
          <w:snapToGrid w:val="0"/>
          <w:color w:val="000000"/>
          <w:spacing w:val="-6"/>
          <w:kern w:val="0"/>
          <w:sz w:val="24"/>
          <w:szCs w:val="24"/>
        </w:rPr>
        <w:t>桥梁病害的数字记录设备</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（2）桥梁全域车辆荷载识别装备、数字孪生与评估技术研发</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（3）</w:t>
      </w:r>
      <w:r>
        <w:rPr>
          <w:rFonts w:ascii="仿宋" w:hAnsi="仿宋" w:eastAsia="仿宋" w:cs="仿宋_GB2312"/>
          <w:snapToGrid w:val="0"/>
          <w:color w:val="000000"/>
          <w:spacing w:val="-6"/>
          <w:kern w:val="0"/>
          <w:sz w:val="24"/>
          <w:szCs w:val="24"/>
        </w:rPr>
        <w:t>桥梁重大安全风险突发报警装备</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（4）基于视频的高频动态转角监测仪研发</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（5）高速公路沿线桥梁群智能巡查车研发</w:t>
      </w:r>
    </w:p>
    <w:p>
      <w:pPr>
        <w:spacing w:line="560" w:lineRule="exact"/>
        <w:ind w:firstLine="458" w:firstLineChars="200"/>
        <w:rPr>
          <w:rFonts w:ascii="仿宋" w:hAnsi="仿宋" w:eastAsia="仿宋" w:cs="仿宋_GB2312"/>
          <w:b/>
          <w:bCs/>
          <w:snapToGrid w:val="0"/>
          <w:color w:val="000000"/>
          <w:spacing w:val="-6"/>
          <w:kern w:val="0"/>
          <w:sz w:val="24"/>
          <w:szCs w:val="24"/>
        </w:rPr>
      </w:pPr>
      <w:r>
        <w:rPr>
          <w:rFonts w:hint="eastAsia" w:ascii="仿宋" w:hAnsi="仿宋" w:eastAsia="仿宋" w:cs="仿宋_GB2312"/>
          <w:b/>
          <w:bCs/>
          <w:snapToGrid w:val="0"/>
          <w:color w:val="000000"/>
          <w:spacing w:val="-6"/>
          <w:kern w:val="0"/>
          <w:sz w:val="24"/>
          <w:szCs w:val="24"/>
        </w:rPr>
        <w:t>（二）多源数据融合的桥梁技术状况动态评估方法研究</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（4）基于管养数据的桥梁集群状态评估</w:t>
      </w:r>
      <w:r>
        <w:rPr>
          <w:rFonts w:ascii="仿宋" w:hAnsi="仿宋" w:eastAsia="仿宋" w:cs="仿宋_GB2312"/>
          <w:snapToGrid w:val="0"/>
          <w:color w:val="000000"/>
          <w:spacing w:val="-6"/>
          <w:kern w:val="0"/>
          <w:sz w:val="24"/>
          <w:szCs w:val="24"/>
        </w:rPr>
        <w:t xml:space="preserve">   </w:t>
      </w:r>
    </w:p>
    <w:p>
      <w:pPr>
        <w:spacing w:line="560" w:lineRule="exact"/>
        <w:ind w:firstLine="458" w:firstLineChars="200"/>
        <w:rPr>
          <w:rFonts w:ascii="仿宋" w:hAnsi="仿宋" w:eastAsia="仿宋" w:cs="仿宋_GB2312"/>
          <w:b/>
          <w:bCs/>
          <w:snapToGrid w:val="0"/>
          <w:color w:val="000000"/>
          <w:spacing w:val="-6"/>
          <w:kern w:val="0"/>
          <w:sz w:val="24"/>
          <w:szCs w:val="24"/>
        </w:rPr>
      </w:pPr>
      <w:r>
        <w:rPr>
          <w:rFonts w:hint="eastAsia" w:ascii="仿宋" w:hAnsi="仿宋" w:eastAsia="仿宋" w:cs="仿宋_GB2312"/>
          <w:b/>
          <w:bCs/>
          <w:snapToGrid w:val="0"/>
          <w:color w:val="000000"/>
          <w:spacing w:val="-6"/>
          <w:kern w:val="0"/>
          <w:sz w:val="24"/>
          <w:szCs w:val="24"/>
        </w:rPr>
        <w:t>（三）桥梁集群分级管养体系与机制建设</w:t>
      </w:r>
    </w:p>
    <w:p>
      <w:pPr>
        <w:spacing w:line="560" w:lineRule="exact"/>
        <w:ind w:firstLine="458" w:firstLineChars="200"/>
        <w:rPr>
          <w:rFonts w:ascii="仿宋" w:hAnsi="仿宋" w:eastAsia="仿宋" w:cs="仿宋_GB2312"/>
          <w:b/>
          <w:bCs/>
          <w:snapToGrid w:val="0"/>
          <w:color w:val="000000"/>
          <w:spacing w:val="-6"/>
          <w:kern w:val="0"/>
          <w:sz w:val="24"/>
          <w:szCs w:val="24"/>
        </w:rPr>
      </w:pPr>
      <w:r>
        <w:rPr>
          <w:rFonts w:hint="eastAsia" w:ascii="仿宋" w:hAnsi="仿宋" w:eastAsia="仿宋" w:cs="仿宋_GB2312"/>
          <w:b/>
          <w:bCs/>
          <w:snapToGrid w:val="0"/>
          <w:color w:val="000000"/>
          <w:spacing w:val="-6"/>
          <w:kern w:val="0"/>
          <w:sz w:val="24"/>
          <w:szCs w:val="24"/>
        </w:rPr>
        <w:t>（四）3座高速公路桥梁健康监测系统实施</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根据相关文件和规范要求，完成</w:t>
      </w:r>
      <w:r>
        <w:rPr>
          <w:rFonts w:ascii="仿宋" w:hAnsi="仿宋" w:eastAsia="仿宋" w:cs="仿宋_GB2312"/>
          <w:snapToGrid w:val="0"/>
          <w:color w:val="000000"/>
          <w:spacing w:val="-6"/>
          <w:kern w:val="0"/>
          <w:sz w:val="24"/>
          <w:szCs w:val="24"/>
        </w:rPr>
        <w:t>G95吕家湾特大桥 （A匝道）、G2516洺水1号大桥及贺坪峡大桥等3座高速公路桥梁健康监测系统实施。</w:t>
      </w:r>
    </w:p>
    <w:p>
      <w:pPr>
        <w:pStyle w:val="2"/>
        <w:rPr>
          <w:rFonts w:ascii="仿宋" w:hAnsi="仿宋" w:eastAsia="仿宋"/>
        </w:rPr>
      </w:pPr>
      <w:r>
        <w:rPr>
          <w:rFonts w:hint="eastAsia" w:ascii="仿宋" w:hAnsi="仿宋" w:eastAsia="仿宋"/>
        </w:rPr>
        <w:t>三、产品指标</w:t>
      </w:r>
    </w:p>
    <w:p>
      <w:pPr>
        <w:pStyle w:val="15"/>
        <w:numPr>
          <w:ilvl w:val="0"/>
          <w:numId w:val="3"/>
        </w:numPr>
        <w:spacing w:line="560" w:lineRule="exact"/>
        <w:ind w:firstLineChars="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功能指标</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具备对</w:t>
      </w:r>
      <w:r>
        <w:rPr>
          <w:rFonts w:hint="eastAsia" w:ascii="Times New Roman" w:hAnsi="Times New Roman" w:eastAsia="仿宋_GB2312" w:cs="Times New Roman"/>
          <w:sz w:val="24"/>
          <w:szCs w:val="24"/>
        </w:rPr>
        <w:t>桥梁技术状况</w:t>
      </w:r>
      <w:r>
        <w:rPr>
          <w:rFonts w:ascii="Times New Roman" w:hAnsi="Times New Roman" w:eastAsia="仿宋_GB2312" w:cs="Times New Roman"/>
          <w:sz w:val="24"/>
          <w:szCs w:val="24"/>
        </w:rPr>
        <w:t>的实时监</w:t>
      </w:r>
      <w:r>
        <w:rPr>
          <w:rFonts w:hint="eastAsia" w:ascii="Times New Roman" w:hAnsi="Times New Roman" w:eastAsia="仿宋_GB2312" w:cs="Times New Roman"/>
          <w:sz w:val="24"/>
          <w:szCs w:val="24"/>
        </w:rPr>
        <w:t>管</w:t>
      </w:r>
      <w:r>
        <w:rPr>
          <w:rFonts w:ascii="Times New Roman" w:hAnsi="Times New Roman" w:eastAsia="仿宋_GB2312" w:cs="Times New Roman"/>
          <w:sz w:val="24"/>
          <w:szCs w:val="24"/>
        </w:rPr>
        <w:t>能力</w:t>
      </w:r>
      <w:r>
        <w:rPr>
          <w:rFonts w:hint="eastAsia" w:ascii="Times New Roman" w:hAnsi="Times New Roman" w:eastAsia="仿宋_GB2312" w:cs="Times New Roman"/>
          <w:sz w:val="24"/>
          <w:szCs w:val="24"/>
        </w:rPr>
        <w:t>和历史演化分析</w:t>
      </w:r>
      <w:r>
        <w:rPr>
          <w:rFonts w:ascii="Times New Roman" w:hAnsi="Times New Roman" w:eastAsia="仿宋_GB2312" w:cs="Times New Roman"/>
          <w:sz w:val="24"/>
          <w:szCs w:val="24"/>
        </w:rPr>
        <w:t>能力</w:t>
      </w:r>
      <w:r>
        <w:rPr>
          <w:rFonts w:hint="eastAsia" w:ascii="Times New Roman" w:hAnsi="Times New Roman" w:eastAsia="仿宋_GB2312" w:cs="Times New Roman"/>
          <w:sz w:val="24"/>
          <w:szCs w:val="24"/>
        </w:rPr>
        <w:t>，能够分析正常使用条件下桥梁抗力的自然衰减。</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2、具备对桥梁突发状况的识别能力，能够分析突发状况下的桥梁抗力衰减。</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3、基于智能巡检车辆，具备对高速公路沿线桥梁集群的快速筛查和普查的能力。</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4、具备对桥梁实际通行荷载的辨识与分析功能，能够实时确定桥梁实际通行荷载的等级水平，及其与设计荷载的对应关系。</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5、综合考虑桥梁性能的自然衰减、突发衰减和实时荷载等级水平等因素，实现对桥梁个体与集群的运营安全动态评估。</w:t>
      </w:r>
    </w:p>
    <w:p>
      <w:pPr>
        <w:widowControl/>
        <w:tabs>
          <w:tab w:val="left" w:pos="1134"/>
        </w:tabs>
        <w:spacing w:line="580" w:lineRule="exact"/>
        <w:ind w:left="48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6、提供基于桥梁群运营安全动态的养管措施建议。</w:t>
      </w:r>
    </w:p>
    <w:p>
      <w:pPr>
        <w:widowControl/>
        <w:tabs>
          <w:tab w:val="left" w:pos="1134"/>
        </w:tabs>
        <w:spacing w:line="580" w:lineRule="exact"/>
        <w:ind w:firstLine="480" w:firstLineChars="200"/>
        <w:textAlignment w:val="baseline"/>
        <w:rPr>
          <w:rFonts w:ascii="仿宋" w:hAnsi="仿宋" w:eastAsia="仿宋" w:cs="仿宋_GB2312"/>
          <w:snapToGrid w:val="0"/>
          <w:color w:val="000000"/>
          <w:spacing w:val="-6"/>
          <w:kern w:val="0"/>
          <w:sz w:val="24"/>
          <w:szCs w:val="24"/>
        </w:rPr>
      </w:pPr>
      <w:r>
        <w:rPr>
          <w:rFonts w:hint="eastAsia" w:ascii="Times New Roman" w:hAnsi="Times New Roman" w:eastAsia="仿宋_GB2312" w:cs="Times New Roman"/>
          <w:sz w:val="24"/>
          <w:szCs w:val="24"/>
        </w:rPr>
        <w:t>7、升级既有桥梁养管平台软件系统，具备实时展示典型桥梁运营技术状况的功能。</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（二）性能指标</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1、装备性能</w:t>
      </w:r>
    </w:p>
    <w:p>
      <w:pPr>
        <w:widowControl/>
        <w:tabs>
          <w:tab w:val="left" w:pos="1134"/>
        </w:tabs>
        <w:spacing w:line="580" w:lineRule="exact"/>
        <w:ind w:firstLine="480" w:firstLineChars="20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桥梁病害数采终端设备性能</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701"/>
        <w:gridCol w:w="187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11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响应时间</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数据容量</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left"/>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桥梁病害数采终端</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&lt;</w:t>
            </w:r>
            <w:r>
              <w:rPr>
                <w:rFonts w:ascii="Times New Roman" w:hAnsi="Times New Roman" w:eastAsia="仿宋_GB2312" w:cs="Times New Roman"/>
                <w:sz w:val="24"/>
                <w:szCs w:val="24"/>
              </w:rPr>
              <w:t>= 1min</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&gt;</w:t>
            </w:r>
            <w:r>
              <w:rPr>
                <w:rFonts w:ascii="Times New Roman" w:hAnsi="Times New Roman" w:eastAsia="仿宋_GB2312" w:cs="Times New Roman"/>
                <w:sz w:val="24"/>
                <w:szCs w:val="24"/>
              </w:rPr>
              <w:t>=2000ps</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规范限值</w:t>
            </w:r>
          </w:p>
        </w:tc>
      </w:tr>
    </w:tbl>
    <w:p>
      <w:pPr>
        <w:widowControl/>
        <w:tabs>
          <w:tab w:val="left" w:pos="1134"/>
        </w:tabs>
        <w:spacing w:line="580" w:lineRule="exact"/>
        <w:ind w:firstLine="480" w:firstLineChars="20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车辆荷载实时识别单元设备性能</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701"/>
        <w:gridCol w:w="187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响应时间</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数据容量</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left"/>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车辆荷载实时识别单元</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&lt;</w:t>
            </w:r>
            <w:r>
              <w:rPr>
                <w:rFonts w:ascii="Times New Roman" w:hAnsi="Times New Roman" w:eastAsia="仿宋_GB2312" w:cs="Times New Roman"/>
                <w:sz w:val="24"/>
                <w:szCs w:val="24"/>
              </w:rPr>
              <w:t>= 30min</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w:t>
            </w:r>
            <w:r>
              <w:rPr>
                <w:rFonts w:ascii="Times New Roman" w:hAnsi="Times New Roman" w:eastAsia="仿宋_GB2312" w:cs="Times New Roman"/>
                <w:sz w:val="24"/>
                <w:szCs w:val="24"/>
              </w:rPr>
              <w:t>= 4lanes</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&gt;</w:t>
            </w:r>
            <w:r>
              <w:rPr>
                <w:rFonts w:ascii="Times New Roman" w:hAnsi="Times New Roman" w:eastAsia="仿宋_GB2312" w:cs="Times New Roman"/>
                <w:sz w:val="24"/>
                <w:szCs w:val="24"/>
              </w:rPr>
              <w:t>=85%</w:t>
            </w:r>
          </w:p>
        </w:tc>
      </w:tr>
    </w:tbl>
    <w:p>
      <w:pPr>
        <w:widowControl/>
        <w:tabs>
          <w:tab w:val="left" w:pos="1134"/>
        </w:tabs>
        <w:spacing w:line="580" w:lineRule="exact"/>
        <w:ind w:firstLine="480" w:firstLineChars="20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高频动态转角监测仪设备性能</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701"/>
        <w:gridCol w:w="187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采样频率</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量程</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left"/>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高频动态转角监测仪</w:t>
            </w:r>
          </w:p>
        </w:tc>
        <w:tc>
          <w:tcPr>
            <w:tcW w:w="1701"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&gt;=20Hz</w:t>
            </w:r>
          </w:p>
        </w:tc>
        <w:tc>
          <w:tcPr>
            <w:tcW w:w="1878"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w:t>
            </w:r>
            <w:r>
              <w:rPr>
                <w:rFonts w:hint="eastAsia" w:ascii="Times New Roman" w:hAnsi="Times New Roman" w:eastAsia="仿宋_GB2312" w:cs="Times New Roman"/>
                <w:sz w:val="24"/>
                <w:szCs w:val="24"/>
              </w:rPr>
              <w:t>5°</w:t>
            </w:r>
          </w:p>
        </w:tc>
        <w:tc>
          <w:tcPr>
            <w:tcW w:w="152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0.05°</w:t>
            </w:r>
          </w:p>
        </w:tc>
      </w:tr>
    </w:tbl>
    <w:p>
      <w:pPr>
        <w:widowControl/>
        <w:tabs>
          <w:tab w:val="left" w:pos="1134"/>
        </w:tabs>
        <w:spacing w:line="580" w:lineRule="exact"/>
        <w:ind w:firstLine="480" w:firstLineChars="20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智能巡查车设备性能</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5103"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病害识别率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tcMar>
              <w:left w:w="28" w:type="dxa"/>
              <w:right w:w="28" w:type="dxa"/>
            </w:tcMar>
            <w:vAlign w:val="center"/>
          </w:tcPr>
          <w:p>
            <w:pPr>
              <w:widowControl/>
              <w:snapToGrid w:val="0"/>
              <w:jc w:val="left"/>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智能巡查车</w:t>
            </w:r>
          </w:p>
        </w:tc>
        <w:tc>
          <w:tcPr>
            <w:tcW w:w="5103"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＞=85%</w:t>
            </w:r>
          </w:p>
        </w:tc>
      </w:tr>
    </w:tbl>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2、桥梁技术状况</w:t>
      </w:r>
      <w:r>
        <w:rPr>
          <w:rFonts w:ascii="Times New Roman" w:hAnsi="Times New Roman" w:eastAsia="仿宋_GB2312" w:cs="Times New Roman"/>
          <w:sz w:val="24"/>
          <w:szCs w:val="24"/>
        </w:rPr>
        <w:t>实时监</w:t>
      </w:r>
      <w:r>
        <w:rPr>
          <w:rFonts w:hint="eastAsia" w:ascii="Times New Roman" w:hAnsi="Times New Roman" w:eastAsia="仿宋_GB2312" w:cs="Times New Roman"/>
          <w:sz w:val="24"/>
          <w:szCs w:val="24"/>
        </w:rPr>
        <w:t>管性能</w:t>
      </w:r>
    </w:p>
    <w:p>
      <w:pPr>
        <w:widowControl/>
        <w:spacing w:line="580" w:lineRule="exact"/>
        <w:ind w:left="64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满足现行相关规范要求，系统稳定工作2年以上。</w:t>
      </w:r>
    </w:p>
    <w:p>
      <w:pPr>
        <w:widowControl/>
        <w:tabs>
          <w:tab w:val="left" w:pos="1134"/>
        </w:tabs>
        <w:spacing w:line="580" w:lineRule="exact"/>
        <w:ind w:firstLine="480" w:firstLineChars="200"/>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3、桥梁运营安全的动态评估</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（1）典型桥梁动态评估周期&lt;</w:t>
      </w:r>
      <w:r>
        <w:rPr>
          <w:rFonts w:ascii="仿宋" w:hAnsi="仿宋" w:eastAsia="仿宋" w:cs="仿宋_GB2312"/>
          <w:snapToGrid w:val="0"/>
          <w:color w:val="000000"/>
          <w:spacing w:val="-6"/>
          <w:kern w:val="0"/>
          <w:sz w:val="24"/>
          <w:szCs w:val="24"/>
        </w:rPr>
        <w:t>15</w:t>
      </w:r>
      <w:r>
        <w:rPr>
          <w:rFonts w:hint="eastAsia" w:ascii="仿宋" w:hAnsi="仿宋" w:eastAsia="仿宋" w:cs="仿宋_GB2312"/>
          <w:snapToGrid w:val="0"/>
          <w:color w:val="000000"/>
          <w:spacing w:val="-6"/>
          <w:kern w:val="0"/>
          <w:sz w:val="24"/>
          <w:szCs w:val="24"/>
        </w:rPr>
        <w:t>天；</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（2）中小桥梁动态评估周期&lt;</w:t>
      </w:r>
      <w:r>
        <w:rPr>
          <w:rFonts w:ascii="仿宋" w:hAnsi="仿宋" w:eastAsia="仿宋" w:cs="仿宋_GB2312"/>
          <w:snapToGrid w:val="0"/>
          <w:color w:val="000000"/>
          <w:spacing w:val="-6"/>
          <w:kern w:val="0"/>
          <w:sz w:val="24"/>
          <w:szCs w:val="24"/>
        </w:rPr>
        <w:t>60</w:t>
      </w:r>
      <w:r>
        <w:rPr>
          <w:rFonts w:hint="eastAsia" w:ascii="仿宋" w:hAnsi="仿宋" w:eastAsia="仿宋" w:cs="仿宋_GB2312"/>
          <w:snapToGrid w:val="0"/>
          <w:color w:val="000000"/>
          <w:spacing w:val="-6"/>
          <w:kern w:val="0"/>
          <w:sz w:val="24"/>
          <w:szCs w:val="24"/>
        </w:rPr>
        <w:t>天</w:t>
      </w:r>
      <w:r>
        <w:rPr>
          <w:rFonts w:ascii="仿宋" w:hAnsi="仿宋" w:eastAsia="仿宋" w:cs="仿宋_GB2312"/>
          <w:snapToGrid w:val="0"/>
          <w:color w:val="000000"/>
          <w:spacing w:val="-6"/>
          <w:kern w:val="0"/>
          <w:sz w:val="24"/>
          <w:szCs w:val="24"/>
        </w:rPr>
        <w:t>;</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（3）桥梁集群动态评估周期&lt;</w:t>
      </w:r>
      <w:r>
        <w:rPr>
          <w:rFonts w:ascii="仿宋" w:hAnsi="仿宋" w:eastAsia="仿宋" w:cs="仿宋_GB2312"/>
          <w:snapToGrid w:val="0"/>
          <w:color w:val="000000"/>
          <w:spacing w:val="-6"/>
          <w:kern w:val="0"/>
          <w:sz w:val="24"/>
          <w:szCs w:val="24"/>
        </w:rPr>
        <w:t>180</w:t>
      </w:r>
      <w:r>
        <w:rPr>
          <w:rFonts w:hint="eastAsia" w:ascii="仿宋" w:hAnsi="仿宋" w:eastAsia="仿宋" w:cs="仿宋_GB2312"/>
          <w:snapToGrid w:val="0"/>
          <w:color w:val="000000"/>
          <w:spacing w:val="-6"/>
          <w:kern w:val="0"/>
          <w:sz w:val="24"/>
          <w:szCs w:val="24"/>
        </w:rPr>
        <w:t>天。</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（三）成本指标</w:t>
      </w:r>
    </w:p>
    <w:tbl>
      <w:tblPr>
        <w:tblStyle w:val="9"/>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名称</w:t>
            </w:r>
          </w:p>
        </w:tc>
        <w:tc>
          <w:tcPr>
            <w:tcW w:w="2693"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tcMar>
              <w:left w:w="28" w:type="dxa"/>
              <w:right w:w="28" w:type="dxa"/>
            </w:tcMar>
            <w:vAlign w:val="center"/>
          </w:tcPr>
          <w:p>
            <w:pPr>
              <w:widowControl/>
              <w:snapToGrid w:val="0"/>
              <w:jc w:val="left"/>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桥梁病害数采终端</w:t>
            </w:r>
          </w:p>
        </w:tc>
        <w:tc>
          <w:tcPr>
            <w:tcW w:w="2693" w:type="dxa"/>
            <w:tcMar>
              <w:left w:w="28" w:type="dxa"/>
              <w:right w:w="28" w:type="dxa"/>
            </w:tcMar>
            <w:vAlign w:val="center"/>
          </w:tcPr>
          <w:p>
            <w:pPr>
              <w:widowControl/>
              <w:snapToGrid w:val="0"/>
              <w:jc w:val="center"/>
              <w:textAlignment w:val="baseline"/>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&lt;</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.0</w:t>
            </w:r>
          </w:p>
        </w:tc>
      </w:tr>
    </w:tbl>
    <w:p>
      <w:pPr>
        <w:pStyle w:val="2"/>
        <w:rPr>
          <w:rFonts w:ascii="仿宋" w:hAnsi="仿宋" w:eastAsia="仿宋"/>
        </w:rPr>
      </w:pPr>
      <w:r>
        <w:rPr>
          <w:rFonts w:hint="eastAsia" w:ascii="仿宋" w:hAnsi="仿宋" w:eastAsia="仿宋"/>
        </w:rPr>
        <w:t>四、预期成果</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（1）围绕项目研究成果，获得</w:t>
      </w:r>
      <w:r>
        <w:rPr>
          <w:rFonts w:ascii="仿宋" w:hAnsi="仿宋" w:eastAsia="仿宋" w:cs="仿宋_GB2312"/>
          <w:snapToGrid w:val="0"/>
          <w:color w:val="000000"/>
          <w:spacing w:val="-6"/>
          <w:kern w:val="0"/>
          <w:sz w:val="24"/>
          <w:szCs w:val="24"/>
        </w:rPr>
        <w:t>专利4项，其中发明专利≥2项；</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（2）获得软件著作权4项；</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（3）</w:t>
      </w:r>
      <w:r>
        <w:rPr>
          <w:rFonts w:ascii="仿宋" w:hAnsi="仿宋" w:eastAsia="仿宋" w:cs="仿宋_GB2312"/>
          <w:snapToGrid w:val="0"/>
          <w:color w:val="000000"/>
          <w:spacing w:val="-6"/>
          <w:kern w:val="0"/>
          <w:sz w:val="24"/>
          <w:szCs w:val="24"/>
        </w:rPr>
        <w:t>发表核心及以上期刊论文6篇；</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（4）</w:t>
      </w:r>
      <w:r>
        <w:rPr>
          <w:rFonts w:ascii="仿宋" w:hAnsi="仿宋" w:eastAsia="仿宋" w:cs="仿宋_GB2312"/>
          <w:snapToGrid w:val="0"/>
          <w:color w:val="000000"/>
          <w:spacing w:val="-6"/>
          <w:kern w:val="0"/>
          <w:sz w:val="24"/>
          <w:szCs w:val="24"/>
        </w:rPr>
        <w:t>编制企业标准或地方标准1部；</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（5）</w:t>
      </w:r>
      <w:r>
        <w:rPr>
          <w:rFonts w:ascii="仿宋" w:hAnsi="仿宋" w:eastAsia="仿宋" w:cs="仿宋_GB2312"/>
          <w:snapToGrid w:val="0"/>
          <w:color w:val="000000"/>
          <w:spacing w:val="-6"/>
          <w:kern w:val="0"/>
          <w:sz w:val="24"/>
          <w:szCs w:val="24"/>
        </w:rPr>
        <w:t>基于既有桥梁养管系统扩展的安全</w:t>
      </w:r>
      <w:r>
        <w:rPr>
          <w:rFonts w:hint="eastAsia" w:ascii="仿宋" w:hAnsi="仿宋" w:eastAsia="仿宋" w:cs="仿宋_GB2312"/>
          <w:snapToGrid w:val="0"/>
          <w:color w:val="000000"/>
          <w:spacing w:val="-6"/>
          <w:kern w:val="0"/>
          <w:sz w:val="24"/>
          <w:szCs w:val="24"/>
        </w:rPr>
        <w:t>监测功能</w:t>
      </w:r>
      <w:r>
        <w:rPr>
          <w:rFonts w:ascii="仿宋" w:hAnsi="仿宋" w:eastAsia="仿宋" w:cs="仿宋_GB2312"/>
          <w:snapToGrid w:val="0"/>
          <w:color w:val="000000"/>
          <w:spacing w:val="-6"/>
          <w:kern w:val="0"/>
          <w:sz w:val="24"/>
          <w:szCs w:val="24"/>
        </w:rPr>
        <w:t>模块1套；</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（6）工程化应用的新技术：2～3项；</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（7）研发新产品1～2项</w:t>
      </w:r>
      <w:r>
        <w:rPr>
          <w:rFonts w:hint="eastAsia" w:ascii="仿宋" w:hAnsi="仿宋" w:eastAsia="仿宋" w:cs="仿宋_GB2312"/>
          <w:snapToGrid w:val="0"/>
          <w:color w:val="auto"/>
          <w:spacing w:val="-6"/>
          <w:kern w:val="0"/>
          <w:sz w:val="24"/>
          <w:szCs w:val="24"/>
        </w:rPr>
        <w:t>，并提供新产品样品1~2项</w:t>
      </w:r>
      <w:r>
        <w:rPr>
          <w:rFonts w:hint="eastAsia" w:ascii="仿宋" w:hAnsi="仿宋" w:eastAsia="仿宋" w:cs="仿宋_GB2312"/>
          <w:snapToGrid w:val="0"/>
          <w:color w:val="000000"/>
          <w:spacing w:val="-6"/>
          <w:kern w:val="0"/>
          <w:sz w:val="24"/>
          <w:szCs w:val="24"/>
        </w:rPr>
        <w:t>；</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（8）3座高速公路桥梁健康监测系统建设；</w:t>
      </w:r>
    </w:p>
    <w:p>
      <w:pPr>
        <w:spacing w:line="560" w:lineRule="exact"/>
        <w:ind w:firstLine="456" w:firstLineChars="200"/>
        <w:rPr>
          <w:rFonts w:ascii="仿宋" w:hAnsi="仿宋" w:eastAsia="仿宋" w:cs="仿宋_GB2312"/>
          <w:snapToGrid w:val="0"/>
          <w:color w:val="000000"/>
          <w:spacing w:val="-6"/>
          <w:kern w:val="0"/>
          <w:sz w:val="24"/>
          <w:szCs w:val="24"/>
        </w:rPr>
      </w:pPr>
      <w:r>
        <w:rPr>
          <w:rFonts w:hint="eastAsia" w:ascii="仿宋" w:hAnsi="仿宋" w:eastAsia="仿宋" w:cs="仿宋_GB2312"/>
          <w:snapToGrid w:val="0"/>
          <w:color w:val="000000"/>
          <w:spacing w:val="-6"/>
          <w:kern w:val="0"/>
          <w:sz w:val="24"/>
          <w:szCs w:val="24"/>
        </w:rPr>
        <w:t>（9）项目研究报告一套。</w:t>
      </w:r>
    </w:p>
    <w:p>
      <w:pPr>
        <w:pStyle w:val="2"/>
        <w:rPr>
          <w:rFonts w:ascii="仿宋" w:hAnsi="仿宋" w:eastAsia="仿宋"/>
        </w:rPr>
      </w:pPr>
      <w:r>
        <w:rPr>
          <w:rFonts w:hint="eastAsia" w:ascii="仿宋" w:hAnsi="仿宋" w:eastAsia="仿宋"/>
        </w:rPr>
        <w:t>五、项目实施周期：自合同签订之日起24个月内。</w:t>
      </w:r>
    </w:p>
    <w:p>
      <w:pPr>
        <w:pStyle w:val="2"/>
        <w:rPr>
          <w:rFonts w:ascii="仿宋" w:hAnsi="仿宋" w:eastAsia="仿宋"/>
        </w:rPr>
      </w:pPr>
      <w:r>
        <w:rPr>
          <w:rFonts w:hint="eastAsia" w:ascii="仿宋" w:hAnsi="仿宋" w:eastAsia="仿宋"/>
        </w:rPr>
        <w:t>六、榜单金额：</w:t>
      </w:r>
      <w:r>
        <w:rPr>
          <w:rFonts w:hint="eastAsia" w:ascii="仿宋" w:hAnsi="仿宋" w:eastAsia="仿宋" w:cs="仿宋"/>
          <w:kern w:val="2"/>
          <w:sz w:val="32"/>
          <w:szCs w:val="32"/>
          <w:lang w:val="en-US" w:eastAsia="zh-CN" w:bidi="ar"/>
        </w:rPr>
        <w:t>2288.2</w:t>
      </w:r>
      <w:r>
        <w:rPr>
          <w:rFonts w:hint="eastAsia" w:ascii="仿宋" w:hAnsi="仿宋" w:eastAsia="仿宋"/>
        </w:rPr>
        <w:t>万元。</w:t>
      </w:r>
    </w:p>
    <w:p>
      <w:pPr>
        <w:ind w:firstLine="562" w:firstLineChars="200"/>
        <w:rPr>
          <w:rFonts w:ascii="仿宋" w:hAnsi="仿宋" w:eastAsia="仿宋" w:cs="仿宋_GB2312"/>
          <w:b/>
          <w:bCs/>
          <w:kern w:val="44"/>
          <w:sz w:val="28"/>
          <w:szCs w:val="28"/>
        </w:rPr>
      </w:pPr>
      <w:r>
        <w:rPr>
          <w:rFonts w:hint="eastAsia" w:ascii="仿宋" w:hAnsi="仿宋" w:eastAsia="仿宋" w:cs="仿宋_GB2312"/>
          <w:b/>
          <w:bCs/>
          <w:kern w:val="44"/>
          <w:sz w:val="28"/>
          <w:szCs w:val="28"/>
        </w:rPr>
        <w:t>七、揭榜团队要求。</w:t>
      </w:r>
    </w:p>
    <w:p>
      <w:pPr>
        <w:pStyle w:val="7"/>
        <w:spacing w:before="0" w:beforeAutospacing="0" w:after="0" w:afterAutospacing="0" w:line="600" w:lineRule="exact"/>
        <w:ind w:firstLine="456" w:firstLineChars="200"/>
        <w:jc w:val="both"/>
        <w:rPr>
          <w:rFonts w:ascii="仿宋" w:hAnsi="仿宋" w:eastAsia="仿宋" w:cs="仿宋_GB2312"/>
          <w:snapToGrid w:val="0"/>
          <w:color w:val="000000"/>
          <w:spacing w:val="-6"/>
        </w:rPr>
      </w:pPr>
      <w:r>
        <w:rPr>
          <w:rFonts w:hint="eastAsia" w:ascii="仿宋" w:hAnsi="仿宋" w:eastAsia="仿宋" w:cs="仿宋_GB2312"/>
          <w:snapToGrid w:val="0"/>
          <w:color w:val="000000"/>
          <w:spacing w:val="-6"/>
        </w:rPr>
        <w:t>（一）揭榜团队须为在中华人民共和国境内注册、具有独立法人资格的企事业单位。</w:t>
      </w:r>
    </w:p>
    <w:p>
      <w:pPr>
        <w:pStyle w:val="7"/>
        <w:spacing w:before="0" w:beforeAutospacing="0" w:after="0" w:afterAutospacing="0" w:line="600" w:lineRule="exact"/>
        <w:ind w:firstLine="456" w:firstLineChars="200"/>
        <w:jc w:val="both"/>
        <w:rPr>
          <w:rFonts w:ascii="仿宋" w:hAnsi="仿宋" w:eastAsia="仿宋" w:cs="仿宋_GB2312"/>
          <w:snapToGrid w:val="0"/>
          <w:color w:val="auto"/>
          <w:spacing w:val="-6"/>
        </w:rPr>
      </w:pPr>
      <w:r>
        <w:rPr>
          <w:rFonts w:hint="eastAsia" w:ascii="仿宋" w:hAnsi="仿宋" w:eastAsia="仿宋" w:cs="仿宋_GB2312"/>
          <w:snapToGrid w:val="0"/>
          <w:color w:val="auto"/>
          <w:spacing w:val="-6"/>
        </w:rPr>
        <w:t>（二）揭榜团队应了解行业最新动态，近5年（2019年3月1日至发榜截止时间，以通过成果验收或鉴定时间或登记时间为准）至少承担过1项省部级桥梁检测/监测相关科研课题的研究，近5年（2019年3月1日至发榜截止时间，以合同签订或项目竣工验收时间为准）至少承担过2项集群化桥梁健康监测项目实施工作。</w:t>
      </w:r>
    </w:p>
    <w:p>
      <w:pPr>
        <w:pStyle w:val="7"/>
        <w:spacing w:before="0" w:beforeAutospacing="0" w:after="0" w:afterAutospacing="0" w:line="600" w:lineRule="exact"/>
        <w:ind w:firstLine="456" w:firstLineChars="200"/>
        <w:jc w:val="both"/>
        <w:rPr>
          <w:rFonts w:ascii="仿宋" w:hAnsi="仿宋" w:eastAsia="仿宋" w:cs="仿宋_GB2312"/>
          <w:snapToGrid w:val="0"/>
          <w:color w:val="000000"/>
          <w:spacing w:val="-6"/>
        </w:rPr>
      </w:pPr>
      <w:r>
        <w:rPr>
          <w:rFonts w:hint="eastAsia" w:ascii="仿宋" w:hAnsi="仿宋" w:eastAsia="仿宋" w:cs="仿宋_GB2312"/>
          <w:snapToGrid w:val="0"/>
          <w:color w:val="000000"/>
          <w:spacing w:val="-6"/>
        </w:rPr>
        <w:t>（三）揭榜团队及项目负责人具备良好的社会信用，近3年无不良信用记录或重大违法行为。保证所提供申报项目信息的真实性，严格遵循科研诚信等有关规定，并对信息虚假导致的后果承担责任。</w:t>
      </w:r>
    </w:p>
    <w:p>
      <w:pPr>
        <w:pStyle w:val="7"/>
        <w:spacing w:before="0" w:beforeAutospacing="0" w:after="0" w:afterAutospacing="0" w:line="600" w:lineRule="exact"/>
        <w:ind w:firstLine="456" w:firstLineChars="200"/>
        <w:jc w:val="both"/>
        <w:rPr>
          <w:rFonts w:ascii="仿宋" w:hAnsi="仿宋" w:eastAsia="仿宋" w:cs="仿宋_GB2312"/>
          <w:snapToGrid w:val="0"/>
          <w:color w:val="000000"/>
          <w:spacing w:val="-6"/>
        </w:rPr>
      </w:pPr>
      <w:r>
        <w:rPr>
          <w:rFonts w:hint="eastAsia" w:ascii="仿宋" w:hAnsi="仿宋" w:eastAsia="仿宋" w:cs="仿宋_GB2312"/>
          <w:snapToGrid w:val="0"/>
          <w:color w:val="000000"/>
          <w:spacing w:val="-6"/>
        </w:rPr>
        <w:t xml:space="preserve">（四）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 </w:t>
      </w:r>
    </w:p>
    <w:p>
      <w:pPr>
        <w:pStyle w:val="7"/>
        <w:spacing w:before="0" w:beforeAutospacing="0" w:after="0" w:afterAutospacing="0" w:line="600" w:lineRule="exact"/>
        <w:ind w:firstLine="456" w:firstLineChars="200"/>
        <w:jc w:val="both"/>
        <w:rPr>
          <w:rFonts w:ascii="仿宋" w:hAnsi="仿宋" w:eastAsia="仿宋" w:cs="仿宋_GB2312"/>
          <w:snapToGrid w:val="0"/>
          <w:color w:val="000000"/>
          <w:spacing w:val="-6"/>
        </w:rPr>
      </w:pPr>
      <w:r>
        <w:rPr>
          <w:rFonts w:hint="eastAsia" w:ascii="仿宋" w:hAnsi="仿宋" w:eastAsia="仿宋" w:cs="仿宋_GB2312"/>
          <w:snapToGrid w:val="0"/>
          <w:color w:val="000000"/>
          <w:spacing w:val="-6"/>
        </w:rPr>
        <w:t>（五）揭榜团队负责人应为项目承担单位在职人员，揭榜攻关期间原则上不得更换和调离。</w:t>
      </w:r>
    </w:p>
    <w:p>
      <w:pPr>
        <w:pStyle w:val="7"/>
        <w:spacing w:before="0" w:beforeAutospacing="0" w:after="0" w:afterAutospacing="0" w:line="600" w:lineRule="exact"/>
        <w:ind w:firstLine="456" w:firstLineChars="200"/>
        <w:jc w:val="both"/>
        <w:rPr>
          <w:rFonts w:ascii="仿宋" w:hAnsi="仿宋" w:eastAsia="仿宋" w:cs="仿宋_GB2312"/>
          <w:snapToGrid w:val="0"/>
          <w:color w:val="000000"/>
          <w:spacing w:val="-6"/>
        </w:rPr>
      </w:pPr>
      <w:r>
        <w:rPr>
          <w:rFonts w:hint="eastAsia" w:ascii="仿宋" w:hAnsi="仿宋" w:eastAsia="仿宋" w:cs="仿宋_GB2312"/>
          <w:snapToGrid w:val="0"/>
          <w:color w:val="000000"/>
          <w:spacing w:val="-6"/>
        </w:rPr>
        <w:t>（六）鼓励企业、金融机构、科技服务机构、高校、科研院所及新型研发机构等以联合体方式申报，牵头单位为1家，联合体成员不超过3家。</w:t>
      </w:r>
    </w:p>
    <w:p>
      <w:pPr>
        <w:spacing w:line="600" w:lineRule="exact"/>
        <w:ind w:firstLine="388" w:firstLineChars="162"/>
        <w:rPr>
          <w:rFonts w:ascii="仿宋" w:hAnsi="仿宋" w:eastAsia="仿宋"/>
          <w:sz w:val="24"/>
          <w:szCs w:val="24"/>
        </w:rPr>
      </w:pPr>
    </w:p>
    <w:p>
      <w:pPr>
        <w:ind w:firstLine="482" w:firstLineChars="200"/>
        <w:rPr>
          <w:rFonts w:ascii="仿宋" w:hAnsi="仿宋" w:eastAsia="仿宋" w:cs="仿宋_GB2312"/>
          <w:b/>
          <w:bCs/>
          <w:kern w:val="44"/>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lang w:val="zh-CN"/>
      </w:rPr>
      <w:t>2</w:t>
    </w:r>
    <w:r>
      <w:fldChar w:fldCharType="end"/>
    </w:r>
  </w:p>
  <w:p>
    <w:pPr>
      <w:ind w:firstLine="420"/>
    </w:pPr>
  </w:p>
  <w:p>
    <w:pPr>
      <w:ind w:firstLine="420"/>
    </w:pPr>
  </w:p>
  <w:p>
    <w:pPr>
      <w:ind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2"/>
      <w:suff w:val="nothing"/>
      <w:lvlText w:val="%1  "/>
      <w:lvlJc w:val="left"/>
      <w:pPr>
        <w:ind w:left="0" w:firstLine="0"/>
      </w:pPr>
      <w:rPr>
        <w:rFonts w:hint="default" w:ascii="Times New Roman" w:hAnsi="Times New Roman" w:cs="Times New Roman"/>
        <w:b/>
        <w:bCs w:val="0"/>
        <w:i w:val="0"/>
        <w:iCs w:val="0"/>
        <w:caps w:val="0"/>
        <w:smallCaps w:val="0"/>
        <w:vanish w:val="0"/>
        <w:color w:val="000000"/>
        <w:spacing w:val="0"/>
        <w:position w:val="0"/>
        <w:u w:val="none"/>
        <w:vertAlign w:val="baseline"/>
      </w:rPr>
    </w:lvl>
    <w:lvl w:ilvl="1" w:tentative="0">
      <w:start w:val="1"/>
      <w:numFmt w:val="decimal"/>
      <w:pStyle w:val="21"/>
      <w:suff w:val="nothing"/>
      <w:lvlText w:val="%1.%2  "/>
      <w:lvlJc w:val="left"/>
      <w:pPr>
        <w:ind w:left="0" w:firstLine="0"/>
      </w:pPr>
      <w:rPr>
        <w:rFonts w:ascii="Times New Roman" w:hAnsi="Times New Roman" w:cs="Times New Roman"/>
        <w:b/>
        <w:bCs w:val="0"/>
        <w:i w:val="0"/>
        <w:iCs w:val="0"/>
        <w:caps w:val="0"/>
        <w:smallCaps w:val="0"/>
        <w:outline w:val="0"/>
        <w:emboss w:val="0"/>
        <w:imprint w:val="0"/>
        <w:snapToGrid w:val="0"/>
        <w:vanish w:val="0"/>
        <w:color w:val="auto"/>
        <w:spacing w:val="0"/>
        <w:w w:val="0"/>
        <w:kern w:val="0"/>
        <w:position w:val="0"/>
        <w:sz w:val="30"/>
        <w:szCs w:val="30"/>
        <w:u w:val="none" w:color="000000"/>
        <w:shd w:val="clear" w:color="auto" w:fill="auto"/>
        <w:vertAlign w:val="baseline"/>
        <w14:shadow w14:blurRad="0" w14:dist="0" w14:dir="0" w14:sx="100000" w14:sy="100000" w14:kx="0" w14:ky="0" w14:algn="none">
          <w14:srgbClr w14:val="808080"/>
        </w14:shadow>
      </w:rPr>
    </w:lvl>
    <w:lvl w:ilvl="2" w:tentative="0">
      <w:start w:val="1"/>
      <w:numFmt w:val="decimal"/>
      <w:pStyle w:val="13"/>
      <w:suff w:val="nothing"/>
      <w:lvlText w:val="%1.%2.%3  "/>
      <w:lvlJc w:val="left"/>
      <w:pPr>
        <w:ind w:left="0" w:firstLine="0"/>
      </w:pPr>
      <w:rPr>
        <w:b/>
        <w:bCs w:val="0"/>
        <w:i w:val="0"/>
        <w:iCs w:val="0"/>
        <w:caps w:val="0"/>
        <w:smallCaps w:val="0"/>
        <w:vanish w:val="0"/>
        <w:color w:val="000000"/>
        <w:spacing w:val="0"/>
        <w:position w:val="0"/>
        <w:u w:val="none"/>
        <w:vertAlign w:val="baseline"/>
      </w:rPr>
    </w:lvl>
    <w:lvl w:ilvl="3" w:tentative="0">
      <w:start w:val="1"/>
      <w:numFmt w:val="decimal"/>
      <w:pStyle w:val="14"/>
      <w:suff w:val="nothing"/>
      <w:lvlText w:val="%1.%2.%3.%4  "/>
      <w:lvlJc w:val="left"/>
      <w:pPr>
        <w:ind w:left="0" w:firstLine="0"/>
      </w:pPr>
      <w:rPr>
        <w:b/>
        <w:bCs w:val="0"/>
        <w:i w:val="0"/>
        <w:iCs w:val="0"/>
        <w:caps w:val="0"/>
        <w:smallCaps w:val="0"/>
        <w:vanish w:val="0"/>
        <w:color w:val="000000"/>
        <w:spacing w:val="0"/>
        <w:position w:val="0"/>
        <w:u w:val="none"/>
        <w:vertAlign w:val="baseline"/>
      </w:rPr>
    </w:lvl>
    <w:lvl w:ilvl="4" w:tentative="0">
      <w:start w:val="1"/>
      <w:numFmt w:val="decimal"/>
      <w:suff w:val="nothing"/>
      <w:lvlText w:val="图%1.%5   "/>
      <w:lvlJc w:val="left"/>
      <w:pPr>
        <w:ind w:left="1560" w:firstLine="0"/>
      </w:pPr>
      <w:rPr>
        <w:rFonts w:hint="eastAsia" w:ascii="宋体" w:hAnsi="宋体" w:eastAsia="宋体" w:cs="Times New Roman"/>
        <w:b/>
        <w:bCs w:val="0"/>
        <w:i w:val="0"/>
        <w:iCs w:val="0"/>
        <w:caps w:val="0"/>
        <w:smallCaps w:val="0"/>
        <w:snapToGrid w:val="0"/>
        <w:vanish w:val="0"/>
        <w:color w:val="000000"/>
        <w:spacing w:val="0"/>
        <w:w w:val="0"/>
        <w:kern w:val="0"/>
        <w:position w:val="0"/>
        <w:sz w:val="21"/>
        <w:szCs w:val="21"/>
        <w:u w:val="none"/>
        <w:vertAlign w:val="baseline"/>
      </w:rPr>
    </w:lvl>
    <w:lvl w:ilvl="5" w:tentative="0">
      <w:start w:val="1"/>
      <w:numFmt w:val="decimal"/>
      <w:suff w:val="nothing"/>
      <w:lvlText w:val="表%1.%6  "/>
      <w:lvlJc w:val="left"/>
      <w:pPr>
        <w:ind w:left="4679" w:firstLine="0"/>
      </w:pPr>
      <w:rPr>
        <w:rFonts w:ascii="宋体" w:hAnsi="Times New Roman"/>
        <w:b/>
        <w:bCs w:val="0"/>
        <w:i w:val="0"/>
        <w:iCs w:val="0"/>
        <w:caps w:val="0"/>
        <w:smallCaps w:val="0"/>
        <w:vanish w:val="0"/>
        <w:color w:val="000000"/>
        <w:spacing w:val="0"/>
        <w:position w:val="0"/>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1"/>
    <w:multiLevelType w:val="multilevel"/>
    <w:tmpl w:val="00000001"/>
    <w:lvl w:ilvl="0" w:tentative="0">
      <w:start w:val="1"/>
      <w:numFmt w:val="japaneseCounting"/>
      <w:lvlText w:val="（%1）"/>
      <w:lvlJc w:val="left"/>
      <w:pPr>
        <w:ind w:left="1176" w:hanging="720"/>
      </w:pPr>
      <w:rPr>
        <w:rFonts w:hint="default"/>
      </w:rPr>
    </w:lvl>
    <w:lvl w:ilvl="1" w:tentative="0">
      <w:start w:val="1"/>
      <w:numFmt w:val="lowerLetter"/>
      <w:lvlText w:val="%2)"/>
      <w:lvlJc w:val="left"/>
      <w:pPr>
        <w:ind w:left="1336" w:hanging="440"/>
      </w:pPr>
    </w:lvl>
    <w:lvl w:ilvl="2" w:tentative="0">
      <w:start w:val="1"/>
      <w:numFmt w:val="lowerRoman"/>
      <w:lvlText w:val="%3."/>
      <w:lvlJc w:val="right"/>
      <w:pPr>
        <w:ind w:left="1776" w:hanging="440"/>
      </w:pPr>
    </w:lvl>
    <w:lvl w:ilvl="3" w:tentative="0">
      <w:start w:val="1"/>
      <w:numFmt w:val="decimal"/>
      <w:lvlText w:val="%4."/>
      <w:lvlJc w:val="left"/>
      <w:pPr>
        <w:ind w:left="2216" w:hanging="440"/>
      </w:pPr>
    </w:lvl>
    <w:lvl w:ilvl="4" w:tentative="0">
      <w:start w:val="1"/>
      <w:numFmt w:val="lowerLetter"/>
      <w:lvlText w:val="%5)"/>
      <w:lvlJc w:val="left"/>
      <w:pPr>
        <w:ind w:left="2656" w:hanging="440"/>
      </w:pPr>
    </w:lvl>
    <w:lvl w:ilvl="5" w:tentative="0">
      <w:start w:val="1"/>
      <w:numFmt w:val="lowerRoman"/>
      <w:lvlText w:val="%6."/>
      <w:lvlJc w:val="right"/>
      <w:pPr>
        <w:ind w:left="3096" w:hanging="440"/>
      </w:pPr>
    </w:lvl>
    <w:lvl w:ilvl="6" w:tentative="0">
      <w:start w:val="1"/>
      <w:numFmt w:val="decimal"/>
      <w:lvlText w:val="%7."/>
      <w:lvlJc w:val="left"/>
      <w:pPr>
        <w:ind w:left="3536" w:hanging="440"/>
      </w:pPr>
    </w:lvl>
    <w:lvl w:ilvl="7" w:tentative="0">
      <w:start w:val="1"/>
      <w:numFmt w:val="lowerLetter"/>
      <w:lvlText w:val="%8)"/>
      <w:lvlJc w:val="left"/>
      <w:pPr>
        <w:ind w:left="3976" w:hanging="440"/>
      </w:pPr>
    </w:lvl>
    <w:lvl w:ilvl="8" w:tentative="0">
      <w:start w:val="1"/>
      <w:numFmt w:val="lowerRoman"/>
      <w:lvlText w:val="%9."/>
      <w:lvlJc w:val="right"/>
      <w:pPr>
        <w:ind w:left="4416" w:hanging="440"/>
      </w:pPr>
    </w:lvl>
  </w:abstractNum>
  <w:abstractNum w:abstractNumId="2">
    <w:nsid w:val="00000003"/>
    <w:multiLevelType w:val="multilevel"/>
    <w:tmpl w:val="00000003"/>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kNzBmNTgzNzA1MTdjNzc4OGZjY2ZkYzNjYWE3ZTUifQ=="/>
  </w:docVars>
  <w:rsids>
    <w:rsidRoot w:val="00000000"/>
    <w:rsid w:val="18D94D16"/>
    <w:rsid w:val="2D0A773C"/>
    <w:rsid w:val="33E96443"/>
    <w:rsid w:val="430A3B9B"/>
    <w:rsid w:val="5780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0"/>
    <w:qFormat/>
    <w:uiPriority w:val="9"/>
    <w:pPr>
      <w:adjustRightInd w:val="0"/>
      <w:snapToGrid w:val="0"/>
      <w:spacing w:line="560" w:lineRule="exact"/>
      <w:ind w:firstLine="562" w:firstLineChars="200"/>
      <w:jc w:val="left"/>
      <w:outlineLvl w:val="0"/>
    </w:pPr>
    <w:rPr>
      <w:rFonts w:ascii="仿宋_GB2312" w:hAnsi="仿宋_GB2312" w:eastAsia="仿宋_GB2312" w:cs="仿宋_GB2312"/>
      <w:b/>
      <w:bCs/>
      <w:kern w:val="44"/>
      <w:sz w:val="28"/>
      <w:szCs w:val="28"/>
    </w:rPr>
  </w:style>
  <w:style w:type="paragraph" w:styleId="3">
    <w:name w:val="heading 2"/>
    <w:basedOn w:val="1"/>
    <w:next w:val="1"/>
    <w:link w:val="16"/>
    <w:qFormat/>
    <w:uiPriority w:val="9"/>
    <w:pPr>
      <w:numPr>
        <w:ilvl w:val="0"/>
        <w:numId w:val="1"/>
      </w:numPr>
      <w:spacing w:line="560" w:lineRule="exact"/>
      <w:outlineLvl w:val="1"/>
    </w:pPr>
    <w:rPr>
      <w:rFonts w:ascii="仿宋" w:hAnsi="仿宋" w:eastAsia="仿宋" w:cs="仿宋_GB2312"/>
      <w:b/>
      <w:sz w:val="24"/>
      <w:szCs w:val="24"/>
    </w:rPr>
  </w:style>
  <w:style w:type="character" w:default="1" w:styleId="10">
    <w:name w:val="Default Paragraph Font"/>
    <w:uiPriority w:val="1"/>
  </w:style>
  <w:style w:type="table" w:default="1" w:styleId="8">
    <w:name w:val="Normal Table"/>
    <w:uiPriority w:val="99"/>
    <w:tblPr>
      <w:tblCellMar>
        <w:top w:w="0" w:type="dxa"/>
        <w:left w:w="108" w:type="dxa"/>
        <w:bottom w:w="0" w:type="dxa"/>
        <w:right w:w="108" w:type="dxa"/>
      </w:tblCellMar>
    </w:tblPr>
  </w:style>
  <w:style w:type="paragraph" w:styleId="4">
    <w:name w:val="Body Text"/>
    <w:basedOn w:val="1"/>
    <w:link w:val="19"/>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basedOn w:val="10"/>
    <w:link w:val="5"/>
    <w:qFormat/>
    <w:uiPriority w:val="99"/>
    <w:rPr>
      <w:sz w:val="18"/>
      <w:szCs w:val="18"/>
    </w:rPr>
  </w:style>
  <w:style w:type="paragraph" w:customStyle="1" w:styleId="12">
    <w:name w:val="级1"/>
    <w:basedOn w:val="1"/>
    <w:next w:val="1"/>
    <w:qFormat/>
    <w:uiPriority w:val="0"/>
    <w:pPr>
      <w:numPr>
        <w:ilvl w:val="0"/>
        <w:numId w:val="2"/>
      </w:numPr>
      <w:spacing w:before="360" w:after="120"/>
      <w:outlineLvl w:val="0"/>
    </w:pPr>
    <w:rPr>
      <w:b/>
      <w:sz w:val="30"/>
      <w:szCs w:val="28"/>
    </w:rPr>
  </w:style>
  <w:style w:type="paragraph" w:customStyle="1" w:styleId="13">
    <w:name w:val="级3"/>
    <w:basedOn w:val="1"/>
    <w:next w:val="1"/>
    <w:qFormat/>
    <w:uiPriority w:val="0"/>
    <w:pPr>
      <w:numPr>
        <w:ilvl w:val="2"/>
        <w:numId w:val="2"/>
      </w:numPr>
      <w:spacing w:before="120" w:after="240" w:line="400" w:lineRule="exact"/>
      <w:outlineLvl w:val="2"/>
    </w:pPr>
    <w:rPr>
      <w:rFonts w:ascii="宋体" w:hAnsi="Times New Roman" w:eastAsia="宋体" w:cs="黑体"/>
      <w:b/>
      <w:sz w:val="24"/>
      <w:szCs w:val="28"/>
    </w:rPr>
  </w:style>
  <w:style w:type="paragraph" w:customStyle="1" w:styleId="14">
    <w:name w:val="级4"/>
    <w:basedOn w:val="1"/>
    <w:next w:val="1"/>
    <w:autoRedefine/>
    <w:qFormat/>
    <w:uiPriority w:val="0"/>
    <w:pPr>
      <w:numPr>
        <w:ilvl w:val="3"/>
        <w:numId w:val="2"/>
      </w:numPr>
      <w:spacing w:before="240" w:after="240"/>
      <w:outlineLvl w:val="3"/>
    </w:pPr>
    <w:rPr>
      <w:rFonts w:ascii="宋体" w:hAnsi="Times New Roman" w:eastAsia="宋体" w:cs="黑体"/>
      <w:b/>
      <w:sz w:val="24"/>
      <w:szCs w:val="21"/>
    </w:rPr>
  </w:style>
  <w:style w:type="paragraph" w:styleId="15">
    <w:name w:val="List Paragraph"/>
    <w:basedOn w:val="1"/>
    <w:qFormat/>
    <w:uiPriority w:val="99"/>
    <w:pPr>
      <w:ind w:firstLine="420" w:firstLineChars="200"/>
    </w:pPr>
  </w:style>
  <w:style w:type="character" w:customStyle="1" w:styleId="16">
    <w:name w:val="标题 2 字符"/>
    <w:basedOn w:val="10"/>
    <w:link w:val="3"/>
    <w:qFormat/>
    <w:uiPriority w:val="9"/>
    <w:rPr>
      <w:rFonts w:ascii="仿宋" w:hAnsi="仿宋" w:eastAsia="仿宋" w:cs="仿宋_GB2312"/>
      <w:b/>
      <w:kern w:val="2"/>
      <w:sz w:val="24"/>
      <w:szCs w:val="24"/>
    </w:rPr>
  </w:style>
  <w:style w:type="table" w:customStyle="1" w:styleId="17">
    <w:name w:val="Table Normal"/>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8">
    <w:name w:val="页眉 字符"/>
    <w:basedOn w:val="10"/>
    <w:link w:val="6"/>
    <w:qFormat/>
    <w:uiPriority w:val="99"/>
    <w:rPr>
      <w:sz w:val="18"/>
      <w:szCs w:val="18"/>
    </w:rPr>
  </w:style>
  <w:style w:type="character" w:customStyle="1" w:styleId="19">
    <w:name w:val="正文文本 字符"/>
    <w:basedOn w:val="10"/>
    <w:link w:val="4"/>
    <w:qFormat/>
    <w:uiPriority w:val="0"/>
    <w:rPr>
      <w:rFonts w:ascii="仿宋" w:hAnsi="仿宋" w:eastAsia="仿宋" w:cs="仿宋"/>
      <w:snapToGrid w:val="0"/>
      <w:color w:val="000000"/>
      <w:kern w:val="0"/>
      <w:sz w:val="31"/>
      <w:szCs w:val="31"/>
      <w:lang w:eastAsia="en-US"/>
    </w:rPr>
  </w:style>
  <w:style w:type="character" w:customStyle="1" w:styleId="20">
    <w:name w:val="标题 1 字符"/>
    <w:basedOn w:val="10"/>
    <w:link w:val="2"/>
    <w:qFormat/>
    <w:uiPriority w:val="9"/>
    <w:rPr>
      <w:rFonts w:ascii="仿宋_GB2312" w:hAnsi="仿宋_GB2312" w:eastAsia="仿宋_GB2312" w:cs="仿宋_GB2312"/>
      <w:b/>
      <w:bCs/>
      <w:kern w:val="44"/>
      <w:sz w:val="28"/>
      <w:szCs w:val="28"/>
    </w:rPr>
  </w:style>
  <w:style w:type="paragraph" w:customStyle="1" w:styleId="21">
    <w:name w:val="级2"/>
    <w:basedOn w:val="1"/>
    <w:next w:val="1"/>
    <w:qFormat/>
    <w:uiPriority w:val="0"/>
    <w:pPr>
      <w:numPr>
        <w:ilvl w:val="1"/>
        <w:numId w:val="2"/>
      </w:numPr>
      <w:spacing w:before="240" w:after="120" w:line="360" w:lineRule="auto"/>
      <w:outlineLvl w:val="1"/>
    </w:pPr>
    <w:rPr>
      <w:rFonts w:ascii="宋体" w:hAnsi="Times New Roman" w:eastAsia="宋体" w:cs="黑体"/>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2035</Words>
  <Characters>2101</Characters>
  <Paragraphs>110</Paragraphs>
  <TotalTime>1</TotalTime>
  <ScaleCrop>false</ScaleCrop>
  <LinksUpToDate>false</LinksUpToDate>
  <CharactersWithSpaces>2111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2024-03-30T15:51:00Z</dcterms:created>
  <dc:creator>胡俊亮</dc:creator>
  <cp:lastModifiedBy>张志毅</cp:lastModifiedBy>
  <dcterms:modified xsi:type="dcterms:W3CDTF">2024-03-31T02:57:52Z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228967024cdb4ee4a2ce87e05974b112_23</vt:lpwstr>
  </property>
  <property fmtid="{D5CDD505-2E9C-101B-9397-08002B2CF9AE}" pid="3" name="KSOProductBuildVer">
    <vt:lpwstr>2052-12.1.0.16412</vt:lpwstr>
  </property>
</Properties>
</file>