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b/>
          <w:color w:val="000000" w:themeColor="text1"/>
          <w:sz w:val="24"/>
          <w:szCs w:val="24"/>
          <w14:textFill>
            <w14:solidFill>
              <w14:schemeClr w14:val="tx1"/>
            </w14:solidFill>
          </w14:textFill>
        </w:rPr>
        <w:t>1</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资格审查条件</w:t>
      </w:r>
    </w:p>
    <w:p>
      <w:pPr>
        <w:pStyle w:val="3"/>
        <w:spacing w:before="120" w:after="120" w:line="300" w:lineRule="exact"/>
        <w:ind w:firstLine="200"/>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附录1 资格审查条件（会计师事务所的资质条件最低要求）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896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color w:val="000000" w:themeColor="text1"/>
                <w14:textFill>
                  <w14:solidFill>
                    <w14:schemeClr w14:val="tx1"/>
                  </w14:solidFill>
                </w14:textFill>
              </w:rPr>
            </w:pPr>
            <w:bookmarkStart w:id="0" w:name="_Hlk162869725"/>
            <w:r>
              <w:rPr>
                <w:rFonts w:hint="eastAsia" w:ascii="宋体" w:hAnsi="宋体" w:eastAsia="宋体" w:cs="宋体"/>
                <w:color w:val="000000" w:themeColor="text1"/>
                <w14:textFill>
                  <w14:solidFill>
                    <w14:schemeClr w14:val="tx1"/>
                  </w14:solidFill>
                </w14:textFill>
              </w:rPr>
              <w:t>会计师事务所的资质</w:t>
            </w:r>
            <w:bookmarkEnd w:id="0"/>
            <w:r>
              <w:rPr>
                <w:rFonts w:hint="eastAsia" w:ascii="宋体" w:hAnsi="宋体" w:eastAsia="宋体" w:cs="宋体"/>
                <w:color w:val="000000" w:themeColor="text1"/>
                <w14:textFill>
                  <w14:solidFill>
                    <w14:schemeClr w14:val="tx1"/>
                  </w14:solidFill>
                </w14:textFill>
              </w:rPr>
              <w:t>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8" w:hRule="atLeast"/>
          <w:jc w:val="center"/>
        </w:trPr>
        <w:tc>
          <w:tcPr>
            <w:tcW w:w="8966"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具有有效企业营业执照；具备财政部门批准的会计师事务所执业证书，已在中国证监会进行了证券业务备案；拥有</w:t>
            </w:r>
            <w:r>
              <w:rPr>
                <w:rFonts w:hint="eastAsia" w:ascii="宋体" w:hAnsi="宋体"/>
                <w:color w:val="000000" w:themeColor="text1"/>
                <w14:textFill>
                  <w14:solidFill>
                    <w14:schemeClr w14:val="tx1"/>
                  </w14:solidFill>
                </w14:textFill>
              </w:rPr>
              <w:t>A</w:t>
            </w:r>
            <w:r>
              <w:rPr>
                <w:rFonts w:hint="eastAsia" w:ascii="宋体" w:hAnsi="宋体" w:eastAsia="宋体" w:cs="宋体"/>
                <w:color w:val="000000" w:themeColor="text1"/>
                <w14:textFill>
                  <w14:solidFill>
                    <w14:schemeClr w14:val="tx1"/>
                  </w14:solidFill>
                </w14:textFill>
              </w:rPr>
              <w:t>股企业审计业务从业资格。</w:t>
            </w:r>
          </w:p>
        </w:tc>
      </w:tr>
    </w:tbl>
    <w:p>
      <w:pPr>
        <w:pStyle w:val="3"/>
        <w:spacing w:before="120" w:after="120" w:line="300" w:lineRule="exact"/>
        <w:ind w:firstLine="200"/>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附录2 资格审查条件(执业记录最低要求)</w:t>
      </w:r>
    </w:p>
    <w:tbl>
      <w:tblPr>
        <w:tblStyle w:val="6"/>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0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themeColor="text1"/>
                <w:szCs w:val="2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执业记录要求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902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hint="eastAsia" w:ascii="宋体" w:hAnsi="宋体"/>
                <w:b/>
                <w:bCs/>
                <w:color w:val="000000" w:themeColor="text1"/>
                <w14:textFill>
                  <w14:solidFill>
                    <w14:schemeClr w14:val="tx1"/>
                  </w14:solidFill>
                </w14:textFill>
              </w:rPr>
            </w:pPr>
            <w:bookmarkStart w:id="1" w:name="_Hlk50454153"/>
            <w:bookmarkStart w:id="2" w:name="_Hlk51692819"/>
            <w:r>
              <w:rPr>
                <w:rFonts w:hint="eastAsia" w:ascii="宋体" w:hAnsi="宋体" w:eastAsia="宋体" w:cs="宋体"/>
                <w:color w:val="000000" w:themeColor="text1"/>
                <w14:textFill>
                  <w14:solidFill>
                    <w14:schemeClr w14:val="tx1"/>
                  </w14:solidFill>
                </w14:textFill>
              </w:rPr>
              <w:t>投标人近</w:t>
            </w:r>
            <w:r>
              <w:rPr>
                <w:rFonts w:hint="eastAsia" w:ascii="宋体" w:hAnsi="宋体"/>
                <w:color w:val="000000" w:themeColor="text1"/>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年内（</w:t>
            </w:r>
            <w:r>
              <w:rPr>
                <w:rFonts w:hint="eastAsia" w:ascii="宋体" w:hAnsi="宋体"/>
                <w:color w:val="000000" w:themeColor="text1"/>
                <w14:textFill>
                  <w14:solidFill>
                    <w14:schemeClr w14:val="tx1"/>
                  </w14:solidFill>
                </w14:textFill>
              </w:rPr>
              <w:t>2019</w:t>
            </w:r>
            <w:r>
              <w:rPr>
                <w:rFonts w:hint="eastAsia" w:ascii="宋体" w:hAnsi="宋体" w:eastAsia="宋体" w:cs="宋体"/>
                <w:color w:val="000000" w:themeColor="text1"/>
                <w14:textFill>
                  <w14:solidFill>
                    <w14:schemeClr w14:val="tx1"/>
                  </w14:solidFill>
                </w14:textFill>
              </w:rPr>
              <w:t>年</w:t>
            </w:r>
            <w:r>
              <w:rPr>
                <w:rFonts w:hint="eastAsia" w:ascii="宋体" w:hAnsi="宋体"/>
                <w:color w:val="000000" w:themeColor="text1"/>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月</w:t>
            </w:r>
            <w:r>
              <w:rPr>
                <w:rFonts w:hint="eastAsia" w:ascii="宋体" w:hAnsi="宋体"/>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日至今，以合同签订时间为准）至少承担过</w:t>
            </w:r>
            <w:r>
              <w:rPr>
                <w:rFonts w:hint="eastAsia" w:ascii="宋体" w:hAnsi="宋体"/>
                <w:color w:val="000000" w:themeColor="text1"/>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家</w:t>
            </w:r>
            <w:r>
              <w:rPr>
                <w:rFonts w:hint="eastAsia" w:ascii="宋体" w:hAnsi="宋体"/>
                <w:color w:val="000000" w:themeColor="text1"/>
                <w14:textFill>
                  <w14:solidFill>
                    <w14:schemeClr w14:val="tx1"/>
                  </w14:solidFill>
                </w14:textFill>
              </w:rPr>
              <w:t>A</w:t>
            </w:r>
            <w:r>
              <w:rPr>
                <w:rFonts w:hint="eastAsia" w:ascii="宋体" w:hAnsi="宋体" w:eastAsia="宋体" w:cs="宋体"/>
                <w:color w:val="000000" w:themeColor="text1"/>
                <w14:textFill>
                  <w14:solidFill>
                    <w14:schemeClr w14:val="tx1"/>
                  </w14:solidFill>
                </w14:textFill>
              </w:rPr>
              <w:t>股上市公司年报审计服务项目业绩。</w:t>
            </w:r>
            <w:bookmarkEnd w:id="1"/>
            <w:bookmarkEnd w:id="2"/>
          </w:p>
        </w:tc>
      </w:tr>
    </w:tbl>
    <w:p>
      <w:pPr>
        <w:pStyle w:val="3"/>
        <w:spacing w:before="120" w:after="120" w:line="300" w:lineRule="exact"/>
        <w:ind w:firstLine="200"/>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附录3 资格审查条件（信誉最低要求）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信誉要求</w:t>
            </w:r>
            <w:r>
              <w:rPr>
                <w:rFonts w:hint="eastAsia" w:ascii="宋体" w:hAnsi="宋体"/>
                <w:color w:val="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hint="eastAsia" w:ascii="宋体" w:hAnsi="宋体"/>
                <w:color w:val="000000" w:themeColor="text1"/>
                <w:szCs w:val="2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投标人在近</w:t>
            </w:r>
            <w:r>
              <w:rPr>
                <w:rFonts w:hint="eastAsia" w:ascii="宋体" w:hAnsi="宋体"/>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年内</w:t>
            </w:r>
            <w:r>
              <w:rPr>
                <w:rFonts w:hint="eastAsia" w:ascii="宋体" w:hAnsi="宋体"/>
                <w:color w:val="000000" w:themeColor="text1"/>
                <w14:textFill>
                  <w14:solidFill>
                    <w14:schemeClr w14:val="tx1"/>
                  </w14:solidFill>
                </w14:textFill>
              </w:rPr>
              <w:t>(2023</w:t>
            </w:r>
            <w:r>
              <w:rPr>
                <w:rFonts w:hint="eastAsia" w:ascii="宋体" w:hAnsi="宋体" w:eastAsia="宋体" w:cs="宋体"/>
                <w:color w:val="000000" w:themeColor="text1"/>
                <w14:textFill>
                  <w14:solidFill>
                    <w14:schemeClr w14:val="tx1"/>
                  </w14:solidFill>
                </w14:textFill>
              </w:rPr>
              <w:t>年</w:t>
            </w:r>
            <w:r>
              <w:rPr>
                <w:rFonts w:hint="eastAsia" w:ascii="宋体" w:hAnsi="宋体"/>
                <w:color w:val="000000" w:themeColor="text1"/>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月</w:t>
            </w:r>
            <w:r>
              <w:rPr>
                <w:rFonts w:hint="eastAsia" w:ascii="宋体" w:hAnsi="宋体"/>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日至今</w:t>
            </w:r>
            <w:r>
              <w:rPr>
                <w:rFonts w:hint="eastAsia" w:ascii="宋体" w:hAnsi="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不曾在审计服务合同中违约而被驱逐或因投标人自身的原因而使审计服务合同被解除。</w:t>
            </w:r>
          </w:p>
        </w:tc>
      </w:tr>
    </w:tbl>
    <w:p>
      <w:pPr>
        <w:pStyle w:val="3"/>
        <w:spacing w:before="120" w:after="120" w:line="300" w:lineRule="exact"/>
        <w:ind w:firstLine="200"/>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附录4 资格审查条件（人力及其他资源配备最低要求）</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3"/>
        <w:gridCol w:w="775"/>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color w:val="000000" w:themeColor="text1"/>
                <w14:textFill>
                  <w14:solidFill>
                    <w14:schemeClr w14:val="tx1"/>
                  </w14:solidFill>
                </w14:textFill>
              </w:rPr>
            </w:pPr>
            <w:bookmarkStart w:id="8" w:name="_GoBack"/>
            <w:r>
              <w:rPr>
                <w:rFonts w:hint="eastAsia" w:ascii="宋体" w:hAnsi="宋体" w:eastAsia="宋体" w:cs="宋体"/>
                <w:color w:val="000000" w:themeColor="text1"/>
                <w14:textFill>
                  <w14:solidFill>
                    <w14:schemeClr w14:val="tx1"/>
                  </w14:solidFill>
                </w14:textFill>
              </w:rPr>
              <w:t>人员</w:t>
            </w:r>
          </w:p>
        </w:tc>
        <w:tc>
          <w:tcPr>
            <w:tcW w:w="7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color w:val="000000" w:themeColor="text1"/>
                <w:szCs w:val="2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数量</w:t>
            </w:r>
          </w:p>
        </w:tc>
        <w:tc>
          <w:tcPr>
            <w:tcW w:w="702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color w:val="000000" w:themeColor="text1"/>
                <w:szCs w:val="2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项目负责人</w:t>
            </w:r>
          </w:p>
        </w:tc>
        <w:tc>
          <w:tcPr>
            <w:tcW w:w="7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702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ind w:firstLine="384" w:firstLineChars="183"/>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注册会计师，近</w:t>
            </w:r>
            <w:r>
              <w:rPr>
                <w:rFonts w:hint="eastAsia" w:ascii="宋体" w:hAnsi="宋体"/>
                <w:color w:val="000000" w:themeColor="text1"/>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年内（</w:t>
            </w:r>
            <w:r>
              <w:rPr>
                <w:rFonts w:hint="eastAsia" w:ascii="宋体" w:hAnsi="宋体"/>
                <w:color w:val="000000" w:themeColor="text1"/>
                <w14:textFill>
                  <w14:solidFill>
                    <w14:schemeClr w14:val="tx1"/>
                  </w14:solidFill>
                </w14:textFill>
              </w:rPr>
              <w:t>2019</w:t>
            </w:r>
            <w:r>
              <w:rPr>
                <w:rFonts w:hint="eastAsia" w:ascii="宋体" w:hAnsi="宋体" w:eastAsia="宋体" w:cs="宋体"/>
                <w:color w:val="000000" w:themeColor="text1"/>
                <w14:textFill>
                  <w14:solidFill>
                    <w14:schemeClr w14:val="tx1"/>
                  </w14:solidFill>
                </w14:textFill>
              </w:rPr>
              <w:t>年</w:t>
            </w:r>
            <w:r>
              <w:rPr>
                <w:rFonts w:hint="eastAsia" w:ascii="宋体" w:hAnsi="宋体"/>
                <w:color w:val="000000" w:themeColor="text1"/>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月</w:t>
            </w:r>
            <w:r>
              <w:rPr>
                <w:rFonts w:hint="eastAsia" w:ascii="宋体" w:hAnsi="宋体"/>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日至今，以合同签订时间为准）至少担任过</w:t>
            </w:r>
            <w:r>
              <w:rPr>
                <w:rFonts w:hint="eastAsia" w:ascii="宋体" w:hAnsi="宋体"/>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家</w:t>
            </w:r>
            <w:r>
              <w:rPr>
                <w:rFonts w:hint="eastAsia" w:ascii="宋体" w:hAnsi="宋体"/>
                <w:color w:val="000000" w:themeColor="text1"/>
                <w14:textFill>
                  <w14:solidFill>
                    <w14:schemeClr w14:val="tx1"/>
                  </w14:solidFill>
                </w14:textFill>
              </w:rPr>
              <w:t>A</w:t>
            </w:r>
            <w:r>
              <w:rPr>
                <w:rFonts w:hint="eastAsia" w:ascii="宋体" w:hAnsi="宋体" w:eastAsia="宋体" w:cs="宋体"/>
                <w:color w:val="000000" w:themeColor="text1"/>
                <w14:textFill>
                  <w14:solidFill>
                    <w14:schemeClr w14:val="tx1"/>
                  </w14:solidFill>
                </w14:textFill>
              </w:rPr>
              <w:t>股上市公司年报审计服务项目的项目负责人。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项目组成员</w:t>
            </w:r>
          </w:p>
        </w:tc>
        <w:tc>
          <w:tcPr>
            <w:tcW w:w="7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702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ind w:firstLine="384" w:firstLineChars="183"/>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具有</w:t>
            </w:r>
            <w:r>
              <w:rPr>
                <w:rFonts w:hint="eastAsia" w:ascii="宋体" w:hAnsi="宋体"/>
                <w:color w:val="000000" w:themeColor="text1"/>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年从事类似项目工作经验。</w:t>
            </w:r>
          </w:p>
        </w:tc>
      </w:tr>
      <w:bookmarkEnd w:id="8"/>
    </w:tbl>
    <w:p>
      <w:pPr>
        <w:spacing w:line="400" w:lineRule="atLeast"/>
        <w:ind w:firstLine="367" w:firstLineChars="175"/>
        <w:rPr>
          <w:rFonts w:hint="eastAsia" w:ascii="宋体" w:hAnsi="宋体" w:cs="Times New Roman"/>
          <w:color w:val="000000" w:themeColor="text1"/>
          <w:kern w:val="2"/>
          <w:sz w:val="24"/>
          <w:szCs w:val="24"/>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ascii="宋体" w:hAnsi="宋体" w:eastAsia="宋体" w:cs="宋体"/>
          <w:color w:val="000000" w:themeColor="text1"/>
          <w:sz w:val="24"/>
          <w:szCs w:val="24"/>
          <w14:textFill>
            <w14:solidFill>
              <w14:schemeClr w14:val="tx1"/>
            </w14:solidFill>
          </w14:textFill>
        </w:rPr>
        <w:t>附件</w:t>
      </w:r>
      <w:r>
        <w:rPr>
          <w:rFonts w:hint="eastAsia" w:ascii="宋体" w:hAnsi="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：评标办法</w:t>
      </w:r>
    </w:p>
    <w:p>
      <w:pPr>
        <w:rPr>
          <w:rFonts w:hint="eastAsia" w:ascii="宋体" w:hAnsi="宋体"/>
          <w:bCs/>
          <w:color w:val="000000" w:themeColor="text1"/>
          <w:sz w:val="30"/>
          <w:szCs w:val="30"/>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评标办法前附表</w:t>
      </w:r>
    </w:p>
    <w:tbl>
      <w:tblPr>
        <w:tblStyle w:val="6"/>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989"/>
        <w:gridCol w:w="7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blHeade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条款号</w:t>
            </w:r>
            <w:r>
              <w:rPr>
                <w:rFonts w:hint="eastAsia" w:ascii="宋体" w:hAnsi="宋体"/>
                <w:color w:val="000000" w:themeColor="text1"/>
                <w14:textFill>
                  <w14:solidFill>
                    <w14:schemeClr w14:val="tx1"/>
                  </w14:solidFill>
                </w14:textFill>
              </w:rPr>
              <w:t xml:space="preserve">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条款名称</w:t>
            </w:r>
            <w:r>
              <w:rPr>
                <w:rFonts w:hint="eastAsia" w:ascii="宋体" w:hAnsi="宋体"/>
                <w:color w:val="000000" w:themeColor="text1"/>
                <w14:textFill>
                  <w14:solidFill>
                    <w14:schemeClr w14:val="tx1"/>
                  </w14:solidFill>
                </w14:textFill>
              </w:rPr>
              <w:t xml:space="preserve"> </w:t>
            </w:r>
          </w:p>
        </w:tc>
        <w:tc>
          <w:tcPr>
            <w:tcW w:w="77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评审因素与评审标准</w:t>
            </w:r>
            <w:r>
              <w:rPr>
                <w:rFonts w:hint="eastAsia" w:ascii="宋体" w:hAnsi="宋体"/>
                <w:color w:val="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评标办法</w:t>
            </w:r>
            <w:r>
              <w:rPr>
                <w:rFonts w:hint="eastAsia" w:ascii="宋体" w:hAnsi="宋体"/>
                <w:color w:val="000000" w:themeColor="text1"/>
                <w14:textFill>
                  <w14:solidFill>
                    <w14:schemeClr w14:val="tx1"/>
                  </w14:solidFill>
                </w14:textFill>
              </w:rPr>
              <w:t xml:space="preserve">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本次评标采用综合评估法，评标委员会对满足招标文件实质性要求的投标文件，按照本章第</w:t>
            </w:r>
            <w:r>
              <w:rPr>
                <w:rFonts w:hint="eastAsia" w:ascii="宋体" w:hAnsi="宋体"/>
                <w:color w:val="000000" w:themeColor="text1"/>
                <w14:textFill>
                  <w14:solidFill>
                    <w14:schemeClr w14:val="tx1"/>
                  </w14:solidFill>
                </w14:textFill>
              </w:rPr>
              <w:t>2.2</w:t>
            </w:r>
            <w:r>
              <w:rPr>
                <w:rFonts w:hint="eastAsia" w:ascii="宋体" w:hAnsi="宋体" w:eastAsia="宋体" w:cs="宋体"/>
                <w:color w:val="000000" w:themeColor="text1"/>
                <w14:textFill>
                  <w14:solidFill>
                    <w14:schemeClr w14:val="tx1"/>
                  </w14:solidFill>
                </w14:textFill>
              </w:rPr>
              <w:t>款规定的评分标准进行打分，并按得分由高到低顺序推荐</w:t>
            </w:r>
            <w:r>
              <w:rPr>
                <w:rFonts w:hint="eastAsia" w:ascii="宋体" w:hAnsi="宋体"/>
                <w:color w:val="000000" w:themeColor="text1"/>
                <w14:textFill>
                  <w14:solidFill>
                    <w14:schemeClr w14:val="tx1"/>
                  </w14:solidFill>
                </w14:textFill>
              </w:rPr>
              <w:t>1-3</w:t>
            </w:r>
            <w:r>
              <w:rPr>
                <w:rFonts w:hint="eastAsia" w:ascii="宋体" w:hAnsi="宋体" w:eastAsia="宋体" w:cs="宋体"/>
                <w:color w:val="000000" w:themeColor="text1"/>
                <w14:textFill>
                  <w14:solidFill>
                    <w14:schemeClr w14:val="tx1"/>
                  </w14:solidFill>
                </w14:textFill>
              </w:rPr>
              <w:t>名中标候选人；综合评分相等时，评标委员会依次按照以下优先推荐中标候选人：</w:t>
            </w:r>
          </w:p>
          <w:p>
            <w:pPr>
              <w:spacing w:line="36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）评标价低的投标人优先；</w:t>
            </w:r>
          </w:p>
          <w:p>
            <w:pPr>
              <w:spacing w:line="36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）服务方案得分较高的投标人优先；</w:t>
            </w:r>
          </w:p>
          <w:p>
            <w:pPr>
              <w:spacing w:line="36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）满足资格审查条件</w:t>
            </w:r>
            <w:r>
              <w:rPr>
                <w:rFonts w:hint="eastAsia" w:ascii="宋体" w:hAnsi="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执业记录最低要求</w:t>
            </w:r>
            <w:r>
              <w:rPr>
                <w:rFonts w:hint="eastAsia" w:ascii="宋体" w:hAnsi="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的</w:t>
            </w:r>
            <w:r>
              <w:rPr>
                <w:rFonts w:hint="eastAsia" w:ascii="宋体" w:hAnsi="宋体" w:eastAsia="宋体" w:cs="宋体"/>
                <w:bCs/>
                <w:color w:val="000000" w:themeColor="text1"/>
                <w14:textFill>
                  <w14:solidFill>
                    <w14:schemeClr w14:val="tx1"/>
                  </w14:solidFill>
                </w14:textFill>
              </w:rPr>
              <w:t>业绩</w:t>
            </w:r>
            <w:r>
              <w:rPr>
                <w:rFonts w:hint="eastAsia" w:ascii="宋体" w:hAnsi="宋体" w:eastAsia="宋体" w:cs="宋体"/>
                <w:color w:val="000000" w:themeColor="text1"/>
                <w14:textFill>
                  <w14:solidFill>
                    <w14:schemeClr w14:val="tx1"/>
                  </w14:solidFill>
                </w14:textFill>
              </w:rPr>
              <w:t>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2.1.1</w:t>
            </w:r>
          </w:p>
          <w:p>
            <w:pPr>
              <w:spacing w:before="100" w:beforeAutospacing="1" w:after="100" w:afterAutospacing="1"/>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2.1.3</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形式评审与响应性评审标准</w:t>
            </w:r>
            <w:r>
              <w:rPr>
                <w:rFonts w:hint="eastAsia" w:ascii="宋体" w:hAnsi="宋体"/>
                <w:color w:val="000000" w:themeColor="text1"/>
                <w14:textFill>
                  <w14:solidFill>
                    <w14:schemeClr w14:val="tx1"/>
                  </w14:solidFill>
                </w14:textFill>
              </w:rPr>
              <w:t xml:space="preserve">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20" w:lineRule="exact"/>
              <w:ind w:firstLine="175"/>
              <w:rPr>
                <w:rFonts w:hint="eastAsia" w:ascii="宋体" w:hAnsi="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第一个信封（商务及技术文件）评审标准</w:t>
            </w:r>
            <w:r>
              <w:rPr>
                <w:rFonts w:hint="eastAsia" w:ascii="宋体" w:hAnsi="宋体"/>
                <w:b/>
                <w:color w:val="000000" w:themeColor="text1"/>
                <w14:textFill>
                  <w14:solidFill>
                    <w14:schemeClr w14:val="tx1"/>
                  </w14:solidFill>
                </w14:textFill>
              </w:rPr>
              <w:t>:</w:t>
            </w:r>
          </w:p>
          <w:p>
            <w:pPr>
              <w:spacing w:line="36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）投标文件按照招标文件规定的格式、内容填写，字迹清晰可辨：</w:t>
            </w:r>
          </w:p>
          <w:p>
            <w:pPr>
              <w:spacing w:line="36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a</w:t>
            </w:r>
            <w:r>
              <w:rPr>
                <w:rFonts w:hint="eastAsia" w:ascii="宋体" w:hAnsi="宋体" w:eastAsia="宋体" w:cs="宋体"/>
                <w:color w:val="000000" w:themeColor="text1"/>
                <w14:textFill>
                  <w14:solidFill>
                    <w14:schemeClr w14:val="tx1"/>
                  </w14:solidFill>
                </w14:textFill>
              </w:rPr>
              <w:t>．投标函按招标文件规定填报了补遗书编号（如有）、质量要求、服务期限和项目负责人等相关信息；</w:t>
            </w:r>
          </w:p>
          <w:p>
            <w:pPr>
              <w:spacing w:line="36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b</w:t>
            </w:r>
            <w:r>
              <w:rPr>
                <w:rFonts w:hint="eastAsia" w:ascii="宋体" w:hAnsi="宋体" w:eastAsia="宋体" w:cs="宋体"/>
                <w:color w:val="000000" w:themeColor="text1"/>
                <w14:textFill>
                  <w14:solidFill>
                    <w14:schemeClr w14:val="tx1"/>
                  </w14:solidFill>
                </w14:textFill>
              </w:rPr>
              <w:t>．投标文件组成齐全完整，内容均按规定填写。</w:t>
            </w:r>
          </w:p>
          <w:p>
            <w:pPr>
              <w:spacing w:line="36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）投标文件上法定代表人（或执行事务合伙人）或其委托代理人的签字、投标人的单位章盖章齐全，符合招标文件规定。</w:t>
            </w:r>
          </w:p>
          <w:p>
            <w:pPr>
              <w:tabs>
                <w:tab w:val="left" w:pos="3060"/>
              </w:tabs>
              <w:spacing w:line="32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）投标人按照招标文件规定的金额、形式、时效和内容提供了投标保证金，并符合投标人须知前附表</w:t>
            </w:r>
            <w:r>
              <w:rPr>
                <w:rFonts w:hint="eastAsia" w:ascii="宋体" w:hAnsi="宋体"/>
                <w:color w:val="000000" w:themeColor="text1"/>
                <w14:textFill>
                  <w14:solidFill>
                    <w14:schemeClr w14:val="tx1"/>
                  </w14:solidFill>
                </w14:textFill>
              </w:rPr>
              <w:t>3.4.1</w:t>
            </w:r>
            <w:r>
              <w:rPr>
                <w:rFonts w:hint="eastAsia" w:ascii="宋体" w:hAnsi="宋体" w:eastAsia="宋体" w:cs="宋体"/>
                <w:color w:val="000000" w:themeColor="text1"/>
                <w14:textFill>
                  <w14:solidFill>
                    <w14:schemeClr w14:val="tx1"/>
                  </w14:solidFill>
                </w14:textFill>
              </w:rPr>
              <w:t>项的相关规定。</w:t>
            </w:r>
          </w:p>
          <w:p>
            <w:pPr>
              <w:tabs>
                <w:tab w:val="left" w:pos="3060"/>
              </w:tabs>
              <w:spacing w:line="360" w:lineRule="exact"/>
              <w:ind w:firstLine="525" w:firstLineChars="250"/>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）投标人法定代表人（或执行事务合伙人）授权委托代理人签署投标文件的，须提交授权委托书，且授权人和被授权人均在授权书上签名。</w:t>
            </w:r>
          </w:p>
          <w:p>
            <w:pPr>
              <w:tabs>
                <w:tab w:val="left" w:pos="3060"/>
              </w:tabs>
              <w:spacing w:line="360" w:lineRule="exact"/>
              <w:ind w:firstLine="525" w:firstLineChars="250"/>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）投标人法定代表人（或执行事务合伙人）亲自签署投标文件的，提供了法定代表人（或执行事务合伙人）身份证明，且法定代表人（或执行事务合伙人）在法定代表人（或执行事务合伙人）身份证明上签名。</w:t>
            </w:r>
          </w:p>
          <w:p>
            <w:pPr>
              <w:tabs>
                <w:tab w:val="left" w:pos="3060"/>
              </w:tabs>
              <w:spacing w:line="360" w:lineRule="exact"/>
              <w:ind w:firstLine="525" w:firstLineChars="250"/>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）投标人未以联合体形式投标。</w:t>
            </w:r>
          </w:p>
          <w:p>
            <w:pPr>
              <w:tabs>
                <w:tab w:val="left" w:pos="3060"/>
              </w:tabs>
              <w:spacing w:line="360" w:lineRule="exact"/>
              <w:ind w:firstLine="525" w:firstLineChars="250"/>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）同一投标人未提交两个以上不同的投标文件。</w:t>
            </w:r>
          </w:p>
          <w:p>
            <w:pPr>
              <w:tabs>
                <w:tab w:val="left" w:pos="3060"/>
              </w:tabs>
              <w:spacing w:line="360" w:lineRule="exact"/>
              <w:ind w:firstLine="525" w:firstLineChars="250"/>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）投标文件中未出现有关投标报价的内容。</w:t>
            </w:r>
          </w:p>
          <w:p>
            <w:pPr>
              <w:tabs>
                <w:tab w:val="left" w:pos="3060"/>
              </w:tabs>
              <w:spacing w:line="360" w:lineRule="exact"/>
              <w:ind w:firstLine="525" w:firstLineChars="250"/>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）投标文件载明的招标项目完成期限符合招标文件规定的时限。</w:t>
            </w:r>
          </w:p>
          <w:p>
            <w:pPr>
              <w:tabs>
                <w:tab w:val="left" w:pos="3060"/>
              </w:tabs>
              <w:spacing w:line="360" w:lineRule="exact"/>
              <w:ind w:firstLine="525" w:firstLineChars="250"/>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10</w:t>
            </w:r>
            <w:r>
              <w:rPr>
                <w:rFonts w:hint="eastAsia" w:ascii="宋体" w:hAnsi="宋体" w:eastAsia="宋体" w:cs="宋体"/>
                <w:color w:val="000000" w:themeColor="text1"/>
                <w14:textFill>
                  <w14:solidFill>
                    <w14:schemeClr w14:val="tx1"/>
                  </w14:solidFill>
                </w14:textFill>
              </w:rPr>
              <w:t>）投标人未对本项目提出分包计划。</w:t>
            </w:r>
          </w:p>
          <w:p>
            <w:pPr>
              <w:tabs>
                <w:tab w:val="left" w:pos="3060"/>
              </w:tabs>
              <w:spacing w:line="360" w:lineRule="exact"/>
              <w:ind w:firstLine="525" w:firstLineChars="250"/>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11</w:t>
            </w:r>
            <w:r>
              <w:rPr>
                <w:rFonts w:hint="eastAsia" w:ascii="宋体" w:hAnsi="宋体" w:eastAsia="宋体" w:cs="宋体"/>
                <w:color w:val="000000" w:themeColor="text1"/>
                <w14:textFill>
                  <w14:solidFill>
                    <w14:schemeClr w14:val="tx1"/>
                  </w14:solidFill>
                </w14:textFill>
              </w:rPr>
              <w:t>）投标文件对招标文件的实质性要求和条件作出响应。</w:t>
            </w:r>
          </w:p>
          <w:p>
            <w:pPr>
              <w:tabs>
                <w:tab w:val="left" w:pos="3060"/>
              </w:tabs>
              <w:spacing w:line="360" w:lineRule="exact"/>
              <w:ind w:firstLine="525" w:firstLineChars="250"/>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12</w:t>
            </w:r>
            <w:r>
              <w:rPr>
                <w:rFonts w:hint="eastAsia" w:ascii="宋体" w:hAnsi="宋体" w:eastAsia="宋体" w:cs="宋体"/>
                <w:color w:val="000000" w:themeColor="text1"/>
                <w14:textFill>
                  <w14:solidFill>
                    <w14:schemeClr w14:val="tx1"/>
                  </w14:solidFill>
                </w14:textFill>
              </w:rPr>
              <w:t>）权利义务符合招标文件规定：</w:t>
            </w:r>
          </w:p>
          <w:p>
            <w:pPr>
              <w:tabs>
                <w:tab w:val="left" w:pos="3060"/>
              </w:tabs>
              <w:spacing w:line="36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a.</w:t>
            </w:r>
            <w:r>
              <w:rPr>
                <w:rFonts w:hint="eastAsia" w:ascii="宋体" w:hAnsi="宋体" w:eastAsia="宋体" w:cs="宋体"/>
                <w:color w:val="000000" w:themeColor="text1"/>
                <w14:textFill>
                  <w14:solidFill>
                    <w14:schemeClr w14:val="tx1"/>
                  </w14:solidFill>
                </w14:textFill>
              </w:rPr>
              <w:t>投标人应接受招标文件规定的风险划分原则，未提出新的风险划分办法；</w:t>
            </w:r>
          </w:p>
          <w:p>
            <w:pPr>
              <w:tabs>
                <w:tab w:val="left" w:pos="3060"/>
              </w:tabs>
              <w:spacing w:line="36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b.</w:t>
            </w:r>
            <w:r>
              <w:rPr>
                <w:rFonts w:hint="eastAsia" w:ascii="宋体" w:hAnsi="宋体" w:eastAsia="宋体" w:cs="宋体"/>
                <w:color w:val="000000" w:themeColor="text1"/>
                <w14:textFill>
                  <w14:solidFill>
                    <w14:schemeClr w14:val="tx1"/>
                  </w14:solidFill>
                </w14:textFill>
              </w:rPr>
              <w:t>投标人未增加发包人的责任范围，或减少投标人义务；</w:t>
            </w:r>
          </w:p>
          <w:p>
            <w:pPr>
              <w:tabs>
                <w:tab w:val="left" w:pos="3060"/>
              </w:tabs>
              <w:spacing w:line="36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c.</w:t>
            </w:r>
            <w:r>
              <w:rPr>
                <w:rFonts w:hint="eastAsia" w:ascii="宋体" w:hAnsi="宋体" w:eastAsia="宋体" w:cs="宋体"/>
                <w:color w:val="000000" w:themeColor="text1"/>
                <w14:textFill>
                  <w14:solidFill>
                    <w14:schemeClr w14:val="tx1"/>
                  </w14:solidFill>
                </w14:textFill>
              </w:rPr>
              <w:t>投标人未提出不同的支付办法；</w:t>
            </w:r>
          </w:p>
          <w:p>
            <w:pPr>
              <w:tabs>
                <w:tab w:val="left" w:pos="3060"/>
              </w:tabs>
              <w:spacing w:line="36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d.</w:t>
            </w:r>
            <w:r>
              <w:rPr>
                <w:rFonts w:hint="eastAsia" w:ascii="宋体" w:hAnsi="宋体" w:eastAsia="宋体" w:cs="宋体"/>
                <w:color w:val="000000" w:themeColor="text1"/>
                <w14:textFill>
                  <w14:solidFill>
                    <w14:schemeClr w14:val="tx1"/>
                  </w14:solidFill>
                </w14:textFill>
              </w:rPr>
              <w:t>投标人对合同纠纷、事故处理办法未提出异议；</w:t>
            </w:r>
          </w:p>
          <w:p>
            <w:pPr>
              <w:tabs>
                <w:tab w:val="left" w:pos="3060"/>
              </w:tabs>
              <w:spacing w:line="36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e.</w:t>
            </w:r>
            <w:r>
              <w:rPr>
                <w:rFonts w:hint="eastAsia" w:ascii="宋体" w:hAnsi="宋体" w:eastAsia="宋体" w:cs="宋体"/>
                <w:color w:val="000000" w:themeColor="text1"/>
                <w14:textFill>
                  <w14:solidFill>
                    <w14:schemeClr w14:val="tx1"/>
                  </w14:solidFill>
                </w14:textFill>
              </w:rPr>
              <w:t>投标人在投标活动中无欺诈行为；</w:t>
            </w:r>
          </w:p>
          <w:p>
            <w:pPr>
              <w:tabs>
                <w:tab w:val="left" w:pos="3060"/>
              </w:tabs>
              <w:spacing w:line="36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f.</w:t>
            </w:r>
            <w:r>
              <w:rPr>
                <w:rFonts w:hint="eastAsia" w:ascii="宋体" w:hAnsi="宋体" w:eastAsia="宋体" w:cs="宋体"/>
                <w:color w:val="000000" w:themeColor="text1"/>
                <w14:textFill>
                  <w14:solidFill>
                    <w14:schemeClr w14:val="tx1"/>
                  </w14:solidFill>
                </w14:textFill>
              </w:rPr>
              <w:t>投标人未对合同条款有重要保留。</w:t>
            </w:r>
          </w:p>
          <w:p>
            <w:pPr>
              <w:tabs>
                <w:tab w:val="left" w:pos="3060"/>
              </w:tabs>
              <w:spacing w:line="320" w:lineRule="exact"/>
              <w:ind w:firstLine="175"/>
              <w:rPr>
                <w:rFonts w:hint="eastAsia" w:ascii="宋体" w:hAnsi="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第二个信封（报价文件）评审标准：</w:t>
            </w:r>
          </w:p>
          <w:p>
            <w:pPr>
              <w:tabs>
                <w:tab w:val="left" w:pos="3060"/>
              </w:tabs>
              <w:spacing w:line="360" w:lineRule="exact"/>
              <w:ind w:firstLine="420" w:firstLineChars="200"/>
              <w:rPr>
                <w:rFonts w:hint="eastAsia" w:ascii="宋体" w:hAnsi="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w:t>
            </w:r>
            <w:r>
              <w:rPr>
                <w:rFonts w:hint="eastAsia" w:ascii="宋体" w:hAnsi="宋体"/>
                <w:bCs/>
                <w:color w:val="000000" w:themeColor="text1"/>
                <w14:textFill>
                  <w14:solidFill>
                    <w14:schemeClr w14:val="tx1"/>
                  </w14:solidFill>
                </w14:textFill>
              </w:rPr>
              <w:t>1</w:t>
            </w:r>
            <w:r>
              <w:rPr>
                <w:rFonts w:hint="eastAsia" w:ascii="宋体" w:hAnsi="宋体" w:eastAsia="宋体" w:cs="宋体"/>
                <w:bCs/>
                <w:color w:val="000000" w:themeColor="text1"/>
                <w14:textFill>
                  <w14:solidFill>
                    <w14:schemeClr w14:val="tx1"/>
                  </w14:solidFill>
                </w14:textFill>
              </w:rPr>
              <w:t>）投标文件按照招标文件规定的格式、内容填写，字迹清晰可辨：</w:t>
            </w:r>
          </w:p>
          <w:p>
            <w:pPr>
              <w:tabs>
                <w:tab w:val="left" w:pos="3060"/>
              </w:tabs>
              <w:spacing w:line="360" w:lineRule="exact"/>
              <w:ind w:firstLine="420" w:firstLineChars="200"/>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a.</w:t>
            </w:r>
            <w:r>
              <w:rPr>
                <w:rFonts w:hint="eastAsia" w:ascii="宋体" w:hAnsi="宋体" w:eastAsia="宋体" w:cs="宋体"/>
                <w:bCs/>
                <w:color w:val="000000" w:themeColor="text1"/>
                <w14:textFill>
                  <w14:solidFill>
                    <w14:schemeClr w14:val="tx1"/>
                  </w14:solidFill>
                </w14:textFill>
              </w:rPr>
              <w:t>投标函按招标文件规定填报了补遗书编号（如有）、投标价（包括大写金额和小写金额）；</w:t>
            </w:r>
          </w:p>
          <w:p>
            <w:pPr>
              <w:tabs>
                <w:tab w:val="left" w:pos="3060"/>
              </w:tabs>
              <w:spacing w:line="360" w:lineRule="exact"/>
              <w:ind w:firstLine="420" w:firstLineChars="200"/>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b</w:t>
            </w:r>
            <w:r>
              <w:rPr>
                <w:rFonts w:hint="eastAsia" w:ascii="宋体" w:hAnsi="宋体" w:eastAsia="宋体" w:cs="宋体"/>
                <w:bCs/>
                <w:color w:val="000000" w:themeColor="text1"/>
                <w14:textFill>
                  <w14:solidFill>
                    <w14:schemeClr w14:val="tx1"/>
                  </w14:solidFill>
                </w14:textFill>
              </w:rPr>
              <w:t>．投标文件组成齐全完整，内容均按规定填写。</w:t>
            </w:r>
          </w:p>
          <w:p>
            <w:pPr>
              <w:tabs>
                <w:tab w:val="left" w:pos="3060"/>
              </w:tabs>
              <w:spacing w:line="36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w:t>
            </w:r>
            <w:r>
              <w:rPr>
                <w:rFonts w:hint="eastAsia" w:ascii="宋体" w:hAnsi="宋体"/>
                <w:bCs/>
                <w:color w:val="000000" w:themeColor="text1"/>
                <w14:textFill>
                  <w14:solidFill>
                    <w14:schemeClr w14:val="tx1"/>
                  </w14:solidFill>
                </w14:textFill>
              </w:rPr>
              <w:t>2</w:t>
            </w:r>
            <w:r>
              <w:rPr>
                <w:rFonts w:hint="eastAsia" w:ascii="宋体" w:hAnsi="宋体" w:eastAsia="宋体" w:cs="宋体"/>
                <w:bCs/>
                <w:color w:val="000000" w:themeColor="text1"/>
                <w14:textFill>
                  <w14:solidFill>
                    <w14:schemeClr w14:val="tx1"/>
                  </w14:solidFill>
                </w14:textFill>
              </w:rPr>
              <w:t>）投标</w:t>
            </w:r>
            <w:r>
              <w:rPr>
                <w:rFonts w:hint="eastAsia" w:ascii="宋体" w:hAnsi="宋体" w:eastAsia="宋体" w:cs="宋体"/>
                <w:color w:val="000000" w:themeColor="text1"/>
                <w14:textFill>
                  <w14:solidFill>
                    <w14:schemeClr w14:val="tx1"/>
                  </w14:solidFill>
                </w14:textFill>
              </w:rPr>
              <w:t>文件</w:t>
            </w:r>
            <w:r>
              <w:rPr>
                <w:rFonts w:hint="eastAsia" w:ascii="宋体" w:hAnsi="宋体" w:eastAsia="宋体" w:cs="宋体"/>
                <w:bCs/>
                <w:color w:val="000000" w:themeColor="text1"/>
                <w14:textFill>
                  <w14:solidFill>
                    <w14:schemeClr w14:val="tx1"/>
                  </w14:solidFill>
                </w14:textFill>
              </w:rPr>
              <w:t>上法定代表人（或执行事务合伙人）或其授权代理人的签字、投标人的单位章盖章齐全，符合招标文件规定。</w:t>
            </w:r>
          </w:p>
          <w:p>
            <w:pPr>
              <w:tabs>
                <w:tab w:val="left" w:pos="3060"/>
              </w:tabs>
              <w:spacing w:line="36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）投标报价未超过招标文件设定的最高投标限价。</w:t>
            </w:r>
          </w:p>
          <w:p>
            <w:pPr>
              <w:tabs>
                <w:tab w:val="left" w:pos="3060"/>
              </w:tabs>
              <w:spacing w:line="36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）投标报价的大写金额能够确定具体数值。</w:t>
            </w:r>
          </w:p>
          <w:p>
            <w:pPr>
              <w:tabs>
                <w:tab w:val="left" w:pos="3060"/>
              </w:tabs>
              <w:spacing w:line="36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）同一投标人未提交两个以上不同的投标报价。</w:t>
            </w:r>
          </w:p>
          <w:p>
            <w:pPr>
              <w:tabs>
                <w:tab w:val="left" w:pos="3060"/>
              </w:tabs>
              <w:spacing w:line="36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）报价清单中</w:t>
            </w:r>
            <w:r>
              <w:rPr>
                <w:rFonts w:hint="eastAsia" w:ascii="宋体" w:hAnsi="宋体" w:eastAsia="宋体" w:cs="宋体"/>
              </w:rPr>
              <w:t>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2.1.2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资格评审标准</w:t>
            </w:r>
            <w:r>
              <w:rPr>
                <w:rFonts w:hint="eastAsia" w:ascii="宋体" w:hAnsi="宋体"/>
                <w:color w:val="000000" w:themeColor="text1"/>
                <w14:textFill>
                  <w14:solidFill>
                    <w14:schemeClr w14:val="tx1"/>
                  </w14:solidFill>
                </w14:textFill>
              </w:rPr>
              <w:t xml:space="preserve">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6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）投标人具备有效的营业执照、组织机构代码证（三证合一或五证合一的除外）和基本账户开户许可证或基本存款账户信息。</w:t>
            </w:r>
          </w:p>
          <w:p>
            <w:pPr>
              <w:tabs>
                <w:tab w:val="left" w:pos="3060"/>
              </w:tabs>
              <w:spacing w:line="36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）投标人的资质条件符合招标文件规定。</w:t>
            </w:r>
          </w:p>
          <w:p>
            <w:pPr>
              <w:tabs>
                <w:tab w:val="left" w:pos="3060"/>
              </w:tabs>
              <w:spacing w:line="36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）投标人的执业记录符合招标文件规定。</w:t>
            </w:r>
          </w:p>
          <w:p>
            <w:pPr>
              <w:tabs>
                <w:tab w:val="left" w:pos="3060"/>
              </w:tabs>
              <w:spacing w:line="36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）投标人的信誉符合招标文件规定。</w:t>
            </w:r>
          </w:p>
          <w:p>
            <w:pPr>
              <w:tabs>
                <w:tab w:val="left" w:pos="3060"/>
              </w:tabs>
              <w:spacing w:line="36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）投标人的人力及其他资源配备符合招标文件规定。</w:t>
            </w:r>
          </w:p>
          <w:p>
            <w:pPr>
              <w:tabs>
                <w:tab w:val="left" w:pos="3060"/>
              </w:tabs>
              <w:spacing w:line="36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）投标人不存在第二章</w:t>
            </w:r>
            <w:r>
              <w:rPr>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投标人须知</w:t>
            </w:r>
            <w:r>
              <w:rPr>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第</w:t>
            </w:r>
            <w:r>
              <w:rPr>
                <w:rFonts w:hint="eastAsia" w:ascii="宋体" w:hAnsi="宋体"/>
                <w:color w:val="000000" w:themeColor="text1"/>
                <w14:textFill>
                  <w14:solidFill>
                    <w14:schemeClr w14:val="tx1"/>
                  </w14:solidFill>
                </w14:textFill>
              </w:rPr>
              <w:t>1.4.3</w:t>
            </w:r>
            <w:r>
              <w:rPr>
                <w:rFonts w:hint="eastAsia" w:ascii="宋体" w:hAnsi="宋体" w:eastAsia="宋体" w:cs="宋体"/>
                <w:color w:val="000000" w:themeColor="text1"/>
                <w14:textFill>
                  <w14:solidFill>
                    <w14:schemeClr w14:val="tx1"/>
                  </w14:solidFill>
                </w14:textFill>
              </w:rPr>
              <w:t>项或</w:t>
            </w:r>
            <w:r>
              <w:rPr>
                <w:rFonts w:hint="eastAsia" w:ascii="宋体" w:hAnsi="宋体"/>
                <w:color w:val="000000" w:themeColor="text1"/>
                <w14:textFill>
                  <w14:solidFill>
                    <w14:schemeClr w14:val="tx1"/>
                  </w14:solidFill>
                </w14:textFill>
              </w:rPr>
              <w:t>1.4.4</w:t>
            </w:r>
            <w:r>
              <w:rPr>
                <w:rFonts w:hint="eastAsia" w:ascii="宋体" w:hAnsi="宋体" w:eastAsia="宋体" w:cs="宋体"/>
                <w:color w:val="000000" w:themeColor="text1"/>
                <w14:textFill>
                  <w14:solidFill>
                    <w14:schemeClr w14:val="tx1"/>
                  </w14:solidFill>
                </w14:textFill>
              </w:rPr>
              <w:t>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2.2.1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分值构成（总分</w:t>
            </w:r>
            <w:r>
              <w:rPr>
                <w:rFonts w:hint="eastAsia" w:ascii="宋体" w:hAnsi="宋体"/>
                <w:color w:val="000000" w:themeColor="text1"/>
                <w14:textFill>
                  <w14:solidFill>
                    <w14:schemeClr w14:val="tx1"/>
                  </w14:solidFill>
                </w14:textFill>
              </w:rPr>
              <w:t>100</w:t>
            </w:r>
            <w:r>
              <w:rPr>
                <w:rFonts w:hint="eastAsia" w:ascii="宋体" w:hAnsi="宋体" w:eastAsia="宋体" w:cs="宋体"/>
                <w:color w:val="000000" w:themeColor="text1"/>
                <w14:textFill>
                  <w14:solidFill>
                    <w14:schemeClr w14:val="tx1"/>
                  </w14:solidFill>
                </w14:textFill>
              </w:rPr>
              <w:t>分）</w:t>
            </w:r>
            <w:r>
              <w:rPr>
                <w:rFonts w:hint="eastAsia" w:ascii="宋体" w:hAnsi="宋体"/>
                <w:color w:val="000000" w:themeColor="text1"/>
                <w14:textFill>
                  <w14:solidFill>
                    <w14:schemeClr w14:val="tx1"/>
                  </w14:solidFill>
                </w14:textFill>
              </w:rPr>
              <w:t xml:space="preserve">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175"/>
              <w:rPr>
                <w:rFonts w:hint="eastAsia" w:ascii="宋体" w:hAnsi="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第一个信封（商务及技术文件）评分分值构成：</w:t>
            </w:r>
          </w:p>
          <w:p>
            <w:pPr>
              <w:spacing w:line="360" w:lineRule="exact"/>
              <w:ind w:firstLine="420" w:firstLineChars="200"/>
              <w:rPr>
                <w:rFonts w:hint="eastAsia" w:ascii="宋体" w:hAnsi="宋体"/>
                <w:color w:val="000000" w:themeColor="text1"/>
                <w:szCs w:val="2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会计师事务所的资质条件：</w:t>
            </w:r>
            <w:r>
              <w:rPr>
                <w:rFonts w:hint="eastAsia" w:ascii="宋体" w:hAnsi="宋体"/>
                <w:color w:val="000000" w:themeColor="text1"/>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分</w:t>
            </w:r>
          </w:p>
          <w:p>
            <w:pPr>
              <w:spacing w:line="36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执业记录：</w:t>
            </w:r>
            <w:r>
              <w:rPr>
                <w:rFonts w:hint="eastAsia" w:ascii="宋体" w:hAnsi="宋体"/>
                <w:color w:val="000000" w:themeColor="text1"/>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分</w:t>
            </w:r>
          </w:p>
          <w:p>
            <w:pPr>
              <w:spacing w:line="360" w:lineRule="exact"/>
              <w:ind w:firstLine="420" w:firstLineChars="200"/>
              <w:rPr>
                <w:rFonts w:hint="eastAsia" w:ascii="宋体" w:hAnsi="宋体"/>
                <w:color w:val="000000" w:themeColor="text1"/>
                <w14:textFill>
                  <w14:solidFill>
                    <w14:schemeClr w14:val="tx1"/>
                  </w14:solidFill>
                </w14:textFill>
              </w:rPr>
            </w:pPr>
            <w:bookmarkStart w:id="3" w:name="_Hlk162869477"/>
            <w:r>
              <w:rPr>
                <w:rFonts w:hint="eastAsia" w:ascii="宋体" w:hAnsi="宋体" w:eastAsia="宋体" w:cs="宋体"/>
                <w:color w:val="000000" w:themeColor="text1"/>
                <w14:textFill>
                  <w14:solidFill>
                    <w14:schemeClr w14:val="tx1"/>
                  </w14:solidFill>
                </w14:textFill>
              </w:rPr>
              <w:t>人力及其他资源配备</w:t>
            </w:r>
            <w:bookmarkEnd w:id="3"/>
            <w:r>
              <w:rPr>
                <w:rFonts w:hint="eastAsia" w:ascii="宋体" w:hAnsi="宋体" w:eastAsia="宋体" w:cs="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10</w:t>
            </w:r>
            <w:r>
              <w:rPr>
                <w:rFonts w:hint="eastAsia" w:ascii="宋体" w:hAnsi="宋体" w:eastAsia="宋体" w:cs="宋体"/>
                <w:color w:val="000000" w:themeColor="text1"/>
                <w14:textFill>
                  <w14:solidFill>
                    <w14:schemeClr w14:val="tx1"/>
                  </w14:solidFill>
                </w14:textFill>
              </w:rPr>
              <w:t>分</w:t>
            </w:r>
          </w:p>
          <w:p>
            <w:pPr>
              <w:spacing w:line="36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服务方案：</w:t>
            </w:r>
            <w:r>
              <w:rPr>
                <w:rFonts w:hint="eastAsia" w:ascii="宋体" w:hAnsi="宋体"/>
                <w:color w:val="000000" w:themeColor="text1"/>
                <w14:textFill>
                  <w14:solidFill>
                    <w14:schemeClr w14:val="tx1"/>
                  </w14:solidFill>
                </w14:textFill>
              </w:rPr>
              <w:t>60</w:t>
            </w:r>
            <w:r>
              <w:rPr>
                <w:rFonts w:hint="eastAsia" w:ascii="宋体" w:hAnsi="宋体" w:eastAsia="宋体" w:cs="宋体"/>
                <w:color w:val="000000" w:themeColor="text1"/>
                <w14:textFill>
                  <w14:solidFill>
                    <w14:schemeClr w14:val="tx1"/>
                  </w14:solidFill>
                </w14:textFill>
              </w:rPr>
              <w:t>分</w:t>
            </w:r>
          </w:p>
          <w:p>
            <w:pPr>
              <w:spacing w:line="360" w:lineRule="exact"/>
              <w:ind w:firstLine="175"/>
              <w:rPr>
                <w:rFonts w:hint="eastAsia" w:ascii="宋体" w:hAnsi="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第二个信封（报价文件）评分分值构成：</w:t>
            </w:r>
          </w:p>
          <w:p>
            <w:pPr>
              <w:spacing w:line="36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w:t>
            </w:r>
            <w:r>
              <w:rPr>
                <w:rFonts w:hint="eastAsia" w:ascii="宋体" w:hAnsi="宋体"/>
                <w:color w:val="000000" w:themeColor="text1"/>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标</w:t>
            </w:r>
            <w:r>
              <w:rPr>
                <w:rFonts w:hint="eastAsia" w:ascii="宋体" w:hAnsi="宋体"/>
                <w:color w:val="000000" w:themeColor="text1"/>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价：</w:t>
            </w:r>
            <w:r>
              <w:rPr>
                <w:rFonts w:hint="eastAsia" w:ascii="宋体" w:hAnsi="宋体"/>
                <w:color w:val="000000" w:themeColor="text1"/>
                <w14:textFill>
                  <w14:solidFill>
                    <w14:schemeClr w14:val="tx1"/>
                  </w14:solidFill>
                </w14:textFill>
              </w:rPr>
              <w:t xml:space="preserve">      10</w:t>
            </w:r>
            <w:r>
              <w:rPr>
                <w:rFonts w:hint="eastAsia" w:ascii="宋体" w:hAnsi="宋体" w:eastAsia="宋体" w:cs="宋体"/>
                <w:color w:val="000000" w:themeColor="text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2.2.2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评标基准价计算方法</w:t>
            </w:r>
            <w:r>
              <w:rPr>
                <w:rFonts w:hint="eastAsia" w:ascii="宋体" w:hAnsi="宋体"/>
                <w:color w:val="000000" w:themeColor="text1"/>
                <w14:textFill>
                  <w14:solidFill>
                    <w14:schemeClr w14:val="tx1"/>
                  </w14:solidFill>
                </w14:textFill>
              </w:rPr>
              <w:t xml:space="preserve">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评标基准价的计算：</w:t>
            </w:r>
            <w:r>
              <w:rPr>
                <w:rFonts w:hint="eastAsia" w:ascii="宋体" w:hAnsi="宋体"/>
                <w:color w:val="000000" w:themeColor="text1"/>
                <w14:textFill>
                  <w14:solidFill>
                    <w14:schemeClr w14:val="tx1"/>
                  </w14:solidFill>
                </w14:textFill>
              </w:rPr>
              <w:t xml:space="preserve"> </w:t>
            </w:r>
          </w:p>
          <w:p>
            <w:pPr>
              <w:tabs>
                <w:tab w:val="left" w:pos="3060"/>
              </w:tabs>
              <w:spacing w:line="36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评标价的确定：</w:t>
            </w:r>
          </w:p>
          <w:p>
            <w:pPr>
              <w:spacing w:line="36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评标价</w:t>
            </w:r>
            <w:r>
              <w:rPr>
                <w:rFonts w:hint="eastAsia" w:ascii="宋体" w:hAnsi="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投标函文字报价</w:t>
            </w:r>
          </w:p>
          <w:p>
            <w:pPr>
              <w:spacing w:line="36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评标价平均值的计算：</w:t>
            </w:r>
          </w:p>
          <w:p>
            <w:pPr>
              <w:spacing w:line="36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除按第二章</w:t>
            </w:r>
            <w:r>
              <w:rPr>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投标人须知</w:t>
            </w:r>
            <w:r>
              <w:rPr>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第</w:t>
            </w:r>
            <w:r>
              <w:rPr>
                <w:rFonts w:hint="eastAsia" w:ascii="宋体" w:hAnsi="宋体"/>
                <w:color w:val="000000" w:themeColor="text1"/>
                <w14:textFill>
                  <w14:solidFill>
                    <w14:schemeClr w14:val="tx1"/>
                  </w14:solidFill>
                </w14:textFill>
              </w:rPr>
              <w:t>5.2.4</w:t>
            </w:r>
            <w:r>
              <w:rPr>
                <w:rFonts w:hint="eastAsia" w:ascii="宋体" w:hAnsi="宋体" w:eastAsia="宋体" w:cs="宋体"/>
                <w:color w:val="000000" w:themeColor="text1"/>
                <w14:textFill>
                  <w14:solidFill>
                    <w14:schemeClr w14:val="tx1"/>
                  </w14:solidFill>
                </w14:textFill>
              </w:rPr>
              <w:t>项规定开标现场被宣布为不进入评标基准价计算的投标报价之外，所有投标人的评标价的算术平均值即为评标价平均值。</w:t>
            </w:r>
          </w:p>
          <w:p>
            <w:pPr>
              <w:spacing w:line="36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评标基准价的确定：</w:t>
            </w:r>
          </w:p>
          <w:p>
            <w:pPr>
              <w:spacing w:line="36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评标价平均值直接作为评标基准价。</w:t>
            </w:r>
          </w:p>
          <w:p>
            <w:pPr>
              <w:spacing w:line="36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评标基准价保留小数点后两位，小数点后第三位四舍五入。</w:t>
            </w:r>
          </w:p>
          <w:p>
            <w:pPr>
              <w:spacing w:line="36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8"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3.6.1</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投标文件相关信息的核查</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在评标过程中，评标委员会应对以下信息进行查询：</w:t>
            </w:r>
          </w:p>
          <w:p>
            <w:pPr>
              <w:spacing w:line="36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）评标委员会评标时在</w:t>
            </w:r>
            <w:r>
              <w:rPr>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国家企业信用信息公示系统（</w:t>
            </w:r>
            <w:r>
              <w:rPr>
                <w:rFonts w:hint="eastAsia" w:ascii="宋体" w:hAnsi="宋体"/>
                <w:color w:val="000000" w:themeColor="text1"/>
                <w14:textFill>
                  <w14:solidFill>
                    <w14:schemeClr w14:val="tx1"/>
                  </w14:solidFill>
                </w14:textFill>
              </w:rPr>
              <w:t>http://www.gsxt.gov.cn/)”</w:t>
            </w:r>
            <w:r>
              <w:rPr>
                <w:rFonts w:hint="eastAsia" w:ascii="宋体" w:hAnsi="宋体" w:eastAsia="宋体" w:cs="宋体"/>
                <w:color w:val="000000" w:themeColor="text1"/>
                <w14:textFill>
                  <w14:solidFill>
                    <w14:schemeClr w14:val="tx1"/>
                  </w14:solidFill>
                </w14:textFill>
              </w:rPr>
              <w:t>对投标人的信用情况进行查询，若投标人存在被列入</w:t>
            </w:r>
            <w:r>
              <w:rPr>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严重违法失信企业名单</w:t>
            </w:r>
            <w:r>
              <w:rPr>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情形的（不含分公司），评标委员会应否决其投标。</w:t>
            </w:r>
          </w:p>
          <w:p>
            <w:pPr>
              <w:spacing w:line="36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）评标委员会评标时在</w:t>
            </w:r>
            <w:r>
              <w:rPr>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信用中国网站（</w:t>
            </w:r>
            <w:r>
              <w:rPr>
                <w:rFonts w:hint="eastAsia" w:ascii="宋体" w:hAnsi="宋体"/>
                <w:color w:val="000000" w:themeColor="text1"/>
                <w14:textFill>
                  <w14:solidFill>
                    <w14:schemeClr w14:val="tx1"/>
                  </w14:solidFill>
                </w14:textFill>
              </w:rPr>
              <w:t>http://www.creditchina.gov.cn/)”</w:t>
            </w:r>
            <w:r>
              <w:rPr>
                <w:rFonts w:hint="eastAsia" w:ascii="宋体" w:hAnsi="宋体" w:eastAsia="宋体" w:cs="宋体"/>
                <w:color w:val="000000" w:themeColor="text1"/>
                <w14:textFill>
                  <w14:solidFill>
                    <w14:schemeClr w14:val="tx1"/>
                  </w14:solidFill>
                </w14:textFill>
              </w:rPr>
              <w:t>进行查询，若投标人存在被列入</w:t>
            </w:r>
            <w:r>
              <w:rPr>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失信被执行人、异常经营名录、税收违法黑名单、政府采购严重违法失信行为记录名单</w:t>
            </w:r>
            <w:r>
              <w:rPr>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情形的（均不含分公司），评标委员会应否决其投标。</w:t>
            </w:r>
          </w:p>
          <w:p>
            <w:pPr>
              <w:spacing w:line="36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如投标人未提供相关网页截图或所附截图与复核结果不一致，评标委员会应否决其投标。</w:t>
            </w:r>
          </w:p>
          <w:p>
            <w:pPr>
              <w:spacing w:line="36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960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需要补充的其他内容：无</w:t>
            </w:r>
          </w:p>
        </w:tc>
      </w:tr>
    </w:tbl>
    <w:p>
      <w:pPr>
        <w:rPr>
          <w:rFonts w:hint="eastAsia" w:ascii="宋体" w:hAnsi="宋体" w:cs="Times New Roman"/>
          <w:color w:val="000000" w:themeColor="text1"/>
          <w:kern w:val="2"/>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具体评分标准如下：</w:t>
      </w:r>
    </w:p>
    <w:tbl>
      <w:tblPr>
        <w:tblStyle w:val="6"/>
        <w:tblW w:w="9720"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57" w:type="dxa"/>
          <w:bottom w:w="0" w:type="dxa"/>
          <w:right w:w="57" w:type="dxa"/>
        </w:tblCellMar>
      </w:tblPr>
      <w:tblGrid>
        <w:gridCol w:w="736"/>
        <w:gridCol w:w="1031"/>
        <w:gridCol w:w="1125"/>
        <w:gridCol w:w="843"/>
        <w:gridCol w:w="5985"/>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98" w:hRule="atLeast"/>
          <w:jc w:val="center"/>
        </w:trPr>
        <w:tc>
          <w:tcPr>
            <w:tcW w:w="735" w:type="dxa"/>
            <w:tcBorders>
              <w:top w:val="single" w:color="auto" w:sz="2" w:space="0"/>
              <w:left w:val="single" w:color="auto" w:sz="2" w:space="0"/>
              <w:bottom w:val="single" w:color="auto" w:sz="6" w:space="0"/>
              <w:right w:val="single" w:color="auto" w:sz="6" w:space="0"/>
            </w:tcBorders>
            <w:vAlign w:val="center"/>
          </w:tcPr>
          <w:p>
            <w:pPr>
              <w:jc w:val="center"/>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序号</w:t>
            </w:r>
          </w:p>
        </w:tc>
        <w:tc>
          <w:tcPr>
            <w:tcW w:w="2156" w:type="dxa"/>
            <w:gridSpan w:val="2"/>
            <w:tcBorders>
              <w:top w:val="single" w:color="auto" w:sz="2" w:space="0"/>
              <w:left w:val="single" w:color="auto" w:sz="6" w:space="0"/>
              <w:bottom w:val="single" w:color="auto" w:sz="6" w:space="0"/>
              <w:right w:val="single" w:color="auto" w:sz="6" w:space="0"/>
            </w:tcBorders>
            <w:vAlign w:val="center"/>
          </w:tcPr>
          <w:p>
            <w:pPr>
              <w:jc w:val="center"/>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评审项目</w:t>
            </w:r>
          </w:p>
        </w:tc>
        <w:tc>
          <w:tcPr>
            <w:tcW w:w="843" w:type="dxa"/>
            <w:tcBorders>
              <w:top w:val="single" w:color="auto" w:sz="2" w:space="0"/>
              <w:left w:val="single" w:color="auto" w:sz="6" w:space="0"/>
              <w:bottom w:val="single" w:color="auto" w:sz="6" w:space="0"/>
              <w:right w:val="single" w:color="auto" w:sz="6" w:space="0"/>
            </w:tcBorders>
            <w:vAlign w:val="center"/>
          </w:tcPr>
          <w:p>
            <w:pPr>
              <w:jc w:val="center"/>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标准分</w:t>
            </w:r>
          </w:p>
        </w:tc>
        <w:tc>
          <w:tcPr>
            <w:tcW w:w="5984" w:type="dxa"/>
            <w:tcBorders>
              <w:top w:val="single" w:color="auto" w:sz="2" w:space="0"/>
              <w:left w:val="single" w:color="auto" w:sz="6" w:space="0"/>
              <w:bottom w:val="single" w:color="auto" w:sz="6" w:space="0"/>
              <w:right w:val="single" w:color="auto" w:sz="2" w:space="0"/>
            </w:tcBorders>
            <w:vAlign w:val="center"/>
          </w:tcPr>
          <w:p>
            <w:pPr>
              <w:jc w:val="center"/>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评分标准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913" w:hRule="atLeast"/>
          <w:jc w:val="center"/>
        </w:trPr>
        <w:tc>
          <w:tcPr>
            <w:tcW w:w="735" w:type="dxa"/>
            <w:tcBorders>
              <w:top w:val="single" w:color="auto" w:sz="6" w:space="0"/>
              <w:left w:val="single" w:color="auto" w:sz="2" w:space="0"/>
              <w:bottom w:val="single" w:color="auto" w:sz="6" w:space="0"/>
              <w:right w:val="single" w:color="auto" w:sz="6" w:space="0"/>
            </w:tcBorders>
            <w:vAlign w:val="center"/>
          </w:tcPr>
          <w:p>
            <w:pPr>
              <w:ind w:firstLine="157"/>
              <w:jc w:val="center"/>
              <w:rPr>
                <w:rFonts w:hint="eastAsia" w:ascii="宋体" w:hAnsi="宋体" w:cs="宋体"/>
                <w:bCs/>
                <w:color w:val="000000" w:themeColor="text1"/>
                <w:w w:val="90"/>
                <w14:textFill>
                  <w14:solidFill>
                    <w14:schemeClr w14:val="tx1"/>
                  </w14:solidFill>
                </w14:textFill>
              </w:rPr>
            </w:pPr>
            <w:r>
              <w:rPr>
                <w:rFonts w:hint="eastAsia" w:ascii="宋体" w:hAnsi="宋体" w:cs="宋体"/>
                <w:bCs/>
                <w:color w:val="000000" w:themeColor="text1"/>
                <w:w w:val="90"/>
                <w14:textFill>
                  <w14:solidFill>
                    <w14:schemeClr w14:val="tx1"/>
                  </w14:solidFill>
                </w14:textFill>
              </w:rPr>
              <w:t>2.2.4</w:t>
            </w:r>
            <w:r>
              <w:rPr>
                <w:rFonts w:hint="eastAsia" w:ascii="宋体" w:hAnsi="宋体" w:eastAsia="宋体" w:cs="宋体"/>
                <w:bCs/>
                <w:color w:val="000000" w:themeColor="text1"/>
                <w:w w:val="90"/>
                <w14:textFill>
                  <w14:solidFill>
                    <w14:schemeClr w14:val="tx1"/>
                  </w14:solidFill>
                </w14:textFill>
              </w:rPr>
              <w:t>（</w:t>
            </w:r>
            <w:r>
              <w:rPr>
                <w:rFonts w:hint="eastAsia" w:ascii="宋体" w:hAnsi="宋体" w:cs="宋体"/>
                <w:bCs/>
                <w:color w:val="000000" w:themeColor="text1"/>
                <w:w w:val="90"/>
                <w14:textFill>
                  <w14:solidFill>
                    <w14:schemeClr w14:val="tx1"/>
                  </w14:solidFill>
                </w14:textFill>
              </w:rPr>
              <w:t>1</w:t>
            </w:r>
            <w:r>
              <w:rPr>
                <w:rFonts w:hint="eastAsia" w:ascii="宋体" w:hAnsi="宋体" w:eastAsia="宋体" w:cs="宋体"/>
                <w:bCs/>
                <w:color w:val="000000" w:themeColor="text1"/>
                <w:w w:val="90"/>
                <w14:textFill>
                  <w14:solidFill>
                    <w14:schemeClr w14:val="tx1"/>
                  </w14:solidFill>
                </w14:textFill>
              </w:rPr>
              <w:t>）</w:t>
            </w:r>
          </w:p>
        </w:tc>
        <w:tc>
          <w:tcPr>
            <w:tcW w:w="2156"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宋体"/>
                <w:bCs/>
                <w:color w:val="000000" w:themeColor="text1"/>
                <w14:textFill>
                  <w14:solidFill>
                    <w14:schemeClr w14:val="tx1"/>
                  </w14:solidFill>
                </w14:textFill>
              </w:rPr>
            </w:pPr>
            <w:bookmarkStart w:id="4" w:name="_Hlk161750264"/>
            <w:r>
              <w:rPr>
                <w:rFonts w:hint="eastAsia" w:ascii="宋体" w:hAnsi="宋体" w:eastAsia="宋体" w:cs="宋体"/>
                <w:color w:val="000000" w:themeColor="text1"/>
                <w14:textFill>
                  <w14:solidFill>
                    <w14:schemeClr w14:val="tx1"/>
                  </w14:solidFill>
                </w14:textFill>
              </w:rPr>
              <w:t>会计师事务所的资质条件</w:t>
            </w:r>
            <w:bookmarkEnd w:id="4"/>
            <w:r>
              <w:rPr>
                <w:rFonts w:hint="eastAsia" w:ascii="宋体" w:hAnsi="宋体" w:eastAsia="宋体" w:cs="宋体"/>
                <w:color w:val="000000" w:themeColor="text1"/>
                <w14:textFill>
                  <w14:solidFill>
                    <w14:schemeClr w14:val="tx1"/>
                  </w14:solidFill>
                </w14:textFill>
              </w:rPr>
              <w:t>（</w:t>
            </w:r>
            <w:r>
              <w:rPr>
                <w:rFonts w:hint="eastAsia" w:ascii="宋体" w:hAnsi="宋体" w:cs="宋体"/>
                <w:bCs/>
                <w:color w:val="000000" w:themeColor="text1"/>
                <w14:textFill>
                  <w14:solidFill>
                    <w14:schemeClr w14:val="tx1"/>
                  </w14:solidFill>
                </w14:textFill>
              </w:rPr>
              <w:t>5</w:t>
            </w:r>
            <w:r>
              <w:rPr>
                <w:rFonts w:hint="eastAsia" w:ascii="宋体" w:hAnsi="宋体" w:eastAsia="宋体" w:cs="宋体"/>
                <w:bCs/>
                <w:color w:val="000000" w:themeColor="text1"/>
                <w14:textFill>
                  <w14:solidFill>
                    <w14:schemeClr w14:val="tx1"/>
                  </w14:solidFill>
                </w14:textFill>
              </w:rPr>
              <w:t>分</w:t>
            </w:r>
            <w:r>
              <w:rPr>
                <w:rFonts w:hint="eastAsia" w:ascii="宋体" w:hAnsi="宋体" w:eastAsia="宋体" w:cs="宋体"/>
                <w:color w:val="000000" w:themeColor="text1"/>
                <w14:textFill>
                  <w14:solidFill>
                    <w14:schemeClr w14:val="tx1"/>
                  </w14:solidFill>
                </w14:textFill>
              </w:rPr>
              <w:t>）</w:t>
            </w:r>
          </w:p>
        </w:tc>
        <w:tc>
          <w:tcPr>
            <w:tcW w:w="84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5</w:t>
            </w:r>
            <w:r>
              <w:rPr>
                <w:rFonts w:hint="eastAsia" w:ascii="宋体" w:hAnsi="宋体" w:eastAsia="宋体" w:cs="宋体"/>
                <w:bCs/>
                <w:color w:val="000000" w:themeColor="text1"/>
                <w14:textFill>
                  <w14:solidFill>
                    <w14:schemeClr w14:val="tx1"/>
                  </w14:solidFill>
                </w14:textFill>
              </w:rPr>
              <w:t>分</w:t>
            </w:r>
          </w:p>
        </w:tc>
        <w:tc>
          <w:tcPr>
            <w:tcW w:w="5984" w:type="dxa"/>
            <w:tcBorders>
              <w:top w:val="single" w:color="auto" w:sz="6" w:space="0"/>
              <w:left w:val="single" w:color="auto" w:sz="6" w:space="0"/>
              <w:bottom w:val="single" w:color="auto" w:sz="6" w:space="0"/>
              <w:right w:val="single" w:color="auto" w:sz="2" w:space="0"/>
            </w:tcBorders>
            <w:vAlign w:val="center"/>
          </w:tcPr>
          <w:p>
            <w:pPr>
              <w:rPr>
                <w:rFonts w:hint="eastAsia" w:ascii="宋体" w:hAnsi="宋体" w:cs="Times New Roman"/>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符合资格审查条件（资质最低要求）得</w:t>
            </w:r>
            <w:r>
              <w:rPr>
                <w:rFonts w:hint="eastAsia" w:ascii="宋体" w:hAnsi="宋体" w:cs="宋体"/>
                <w:bCs/>
                <w:color w:val="000000" w:themeColor="text1"/>
                <w14:textFill>
                  <w14:solidFill>
                    <w14:schemeClr w14:val="tx1"/>
                  </w14:solidFill>
                </w14:textFill>
              </w:rPr>
              <w:t>3</w:t>
            </w:r>
            <w:r>
              <w:rPr>
                <w:rFonts w:hint="eastAsia" w:ascii="宋体" w:hAnsi="宋体" w:eastAsia="宋体" w:cs="宋体"/>
                <w:bCs/>
                <w:color w:val="000000" w:themeColor="text1"/>
                <w14:textFill>
                  <w14:solidFill>
                    <w14:schemeClr w14:val="tx1"/>
                  </w14:solidFill>
                </w14:textFill>
              </w:rPr>
              <w:t>分；</w:t>
            </w:r>
          </w:p>
          <w:p>
            <w:pPr>
              <w:rPr>
                <w:rFonts w:hint="eastAsia" w:ascii="宋体" w:hAnsi="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根据中国注册会计师协会关于发布《</w:t>
            </w:r>
            <w:r>
              <w:rPr>
                <w:rFonts w:hint="eastAsia" w:ascii="宋体" w:hAnsi="宋体" w:cs="宋体"/>
                <w:bCs/>
                <w:color w:val="000000" w:themeColor="text1"/>
                <w14:textFill>
                  <w14:solidFill>
                    <w14:schemeClr w14:val="tx1"/>
                  </w14:solidFill>
                </w14:textFill>
              </w:rPr>
              <w:t>2022</w:t>
            </w:r>
            <w:r>
              <w:rPr>
                <w:rFonts w:hint="eastAsia" w:ascii="宋体" w:hAnsi="宋体" w:eastAsia="宋体" w:cs="宋体"/>
                <w:bCs/>
                <w:color w:val="000000" w:themeColor="text1"/>
                <w14:textFill>
                  <w14:solidFill>
                    <w14:schemeClr w14:val="tx1"/>
                  </w14:solidFill>
                </w14:textFill>
              </w:rPr>
              <w:t>年度会计师事务所综合评价百家排名信息》的通告的排名顺序情况打分，排名得分计算公式为</w:t>
            </w:r>
            <w:r>
              <w:rPr>
                <w:rFonts w:hint="eastAsia" w:ascii="宋体" w:hAnsi="宋体" w:cs="宋体"/>
                <w:bCs/>
                <w:color w:val="000000" w:themeColor="text1"/>
                <w14:textFill>
                  <w14:solidFill>
                    <w14:schemeClr w14:val="tx1"/>
                  </w14:solidFill>
                </w14:textFill>
              </w:rPr>
              <w:t>2-</w:t>
            </w:r>
            <w:r>
              <w:rPr>
                <w:rFonts w:hint="eastAsia" w:ascii="宋体" w:hAnsi="宋体" w:eastAsia="宋体" w:cs="宋体"/>
                <w:bCs/>
                <w:color w:val="000000" w:themeColor="text1"/>
                <w14:textFill>
                  <w14:solidFill>
                    <w14:schemeClr w14:val="tx1"/>
                  </w14:solidFill>
                </w14:textFill>
              </w:rPr>
              <w:t>（排名</w:t>
            </w:r>
            <w:r>
              <w:rPr>
                <w:rFonts w:hint="eastAsia" w:ascii="宋体" w:hAnsi="宋体" w:cs="宋体"/>
                <w:bCs/>
                <w:color w:val="000000" w:themeColor="text1"/>
                <w14:textFill>
                  <w14:solidFill>
                    <w14:schemeClr w14:val="tx1"/>
                  </w14:solidFill>
                </w14:textFill>
              </w:rPr>
              <w:t>-1</w:t>
            </w:r>
            <w:r>
              <w:rPr>
                <w:rFonts w:hint="eastAsia" w:ascii="宋体" w:hAnsi="宋体" w:eastAsia="宋体" w:cs="宋体"/>
                <w:bCs/>
                <w:color w:val="000000" w:themeColor="text1"/>
                <w14:textFill>
                  <w14:solidFill>
                    <w14:schemeClr w14:val="tx1"/>
                  </w14:solidFill>
                </w14:textFill>
              </w:rPr>
              <w:t>）</w:t>
            </w:r>
            <w:r>
              <w:rPr>
                <w:rFonts w:hint="eastAsia" w:ascii="宋体" w:hAnsi="宋体" w:cs="宋体"/>
                <w:bCs/>
                <w:color w:val="000000" w:themeColor="text1"/>
                <w14:textFill>
                  <w14:solidFill>
                    <w14:schemeClr w14:val="tx1"/>
                  </w14:solidFill>
                </w14:textFill>
              </w:rPr>
              <w:t>*0.02</w:t>
            </w:r>
            <w:r>
              <w:rPr>
                <w:rFonts w:hint="eastAsia" w:ascii="宋体" w:hAnsi="宋体" w:eastAsia="宋体" w:cs="宋体"/>
                <w:bCs/>
                <w:color w:val="000000" w:themeColor="text1"/>
                <w14:textFill>
                  <w14:solidFill>
                    <w14:schemeClr w14:val="tx1"/>
                  </w14:solidFill>
                </w14:textFill>
              </w:rPr>
              <w:t>，会计师事务所此项最低得</w:t>
            </w:r>
            <w:r>
              <w:rPr>
                <w:rFonts w:hint="eastAsia" w:ascii="宋体" w:hAnsi="宋体" w:cs="宋体"/>
                <w:bCs/>
                <w:color w:val="000000" w:themeColor="text1"/>
                <w14:textFill>
                  <w14:solidFill>
                    <w14:schemeClr w14:val="tx1"/>
                  </w14:solidFill>
                </w14:textFill>
              </w:rPr>
              <w:t>0</w:t>
            </w:r>
            <w:r>
              <w:rPr>
                <w:rFonts w:hint="eastAsia" w:ascii="宋体" w:hAnsi="宋体" w:eastAsia="宋体" w:cs="宋体"/>
                <w:bCs/>
                <w:color w:val="000000" w:themeColor="text1"/>
                <w14:textFill>
                  <w14:solidFill>
                    <w14:schemeClr w14:val="tx1"/>
                  </w14:solidFill>
                </w14:textFill>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26" w:hRule="atLeast"/>
          <w:jc w:val="center"/>
        </w:trPr>
        <w:tc>
          <w:tcPr>
            <w:tcW w:w="735" w:type="dxa"/>
            <w:tcBorders>
              <w:top w:val="single" w:color="auto" w:sz="6" w:space="0"/>
              <w:left w:val="single" w:color="auto" w:sz="2" w:space="0"/>
              <w:bottom w:val="single" w:color="auto" w:sz="6" w:space="0"/>
              <w:right w:val="single" w:color="auto" w:sz="6" w:space="0"/>
            </w:tcBorders>
            <w:vAlign w:val="center"/>
          </w:tcPr>
          <w:p>
            <w:pPr>
              <w:ind w:firstLine="157"/>
              <w:jc w:val="center"/>
              <w:rPr>
                <w:rFonts w:hint="eastAsia" w:ascii="宋体" w:hAnsi="宋体" w:cs="宋体"/>
                <w:bCs/>
                <w:color w:val="000000" w:themeColor="text1"/>
                <w:w w:val="90"/>
                <w14:textFill>
                  <w14:solidFill>
                    <w14:schemeClr w14:val="tx1"/>
                  </w14:solidFill>
                </w14:textFill>
              </w:rPr>
            </w:pPr>
            <w:r>
              <w:rPr>
                <w:rFonts w:hint="eastAsia" w:ascii="宋体" w:hAnsi="宋体" w:cs="宋体"/>
                <w:bCs/>
                <w:color w:val="000000" w:themeColor="text1"/>
                <w:w w:val="90"/>
                <w14:textFill>
                  <w14:solidFill>
                    <w14:schemeClr w14:val="tx1"/>
                  </w14:solidFill>
                </w14:textFill>
              </w:rPr>
              <w:t>2.2.4</w:t>
            </w:r>
            <w:r>
              <w:rPr>
                <w:rFonts w:hint="eastAsia" w:ascii="宋体" w:hAnsi="宋体" w:eastAsia="宋体" w:cs="宋体"/>
                <w:bCs/>
                <w:color w:val="000000" w:themeColor="text1"/>
                <w:w w:val="90"/>
                <w14:textFill>
                  <w14:solidFill>
                    <w14:schemeClr w14:val="tx1"/>
                  </w14:solidFill>
                </w14:textFill>
              </w:rPr>
              <w:t>（</w:t>
            </w:r>
            <w:r>
              <w:rPr>
                <w:rFonts w:hint="eastAsia" w:ascii="宋体" w:hAnsi="宋体" w:cs="宋体"/>
                <w:bCs/>
                <w:color w:val="000000" w:themeColor="text1"/>
                <w:w w:val="90"/>
                <w14:textFill>
                  <w14:solidFill>
                    <w14:schemeClr w14:val="tx1"/>
                  </w14:solidFill>
                </w14:textFill>
              </w:rPr>
              <w:t>2</w:t>
            </w:r>
            <w:r>
              <w:rPr>
                <w:rFonts w:hint="eastAsia" w:ascii="宋体" w:hAnsi="宋体" w:eastAsia="宋体" w:cs="宋体"/>
                <w:bCs/>
                <w:color w:val="000000" w:themeColor="text1"/>
                <w:w w:val="90"/>
                <w14:textFill>
                  <w14:solidFill>
                    <w14:schemeClr w14:val="tx1"/>
                  </w14:solidFill>
                </w14:textFill>
              </w:rPr>
              <w:t>）</w:t>
            </w:r>
          </w:p>
        </w:tc>
        <w:tc>
          <w:tcPr>
            <w:tcW w:w="2156"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宋体"/>
                <w:bCs/>
                <w:color w:val="000000" w:themeColor="text1"/>
                <w14:textFill>
                  <w14:solidFill>
                    <w14:schemeClr w14:val="tx1"/>
                  </w14:solidFill>
                </w14:textFill>
              </w:rPr>
            </w:pPr>
            <w:bookmarkStart w:id="5" w:name="_Hlk161750319"/>
            <w:r>
              <w:rPr>
                <w:rFonts w:hint="eastAsia" w:ascii="宋体" w:hAnsi="宋体" w:eastAsia="宋体" w:cs="宋体"/>
                <w:bCs/>
                <w:color w:val="000000" w:themeColor="text1"/>
                <w14:textFill>
                  <w14:solidFill>
                    <w14:schemeClr w14:val="tx1"/>
                  </w14:solidFill>
                </w14:textFill>
              </w:rPr>
              <w:t>执业记录</w:t>
            </w:r>
            <w:bookmarkEnd w:id="5"/>
            <w:r>
              <w:rPr>
                <w:rFonts w:hint="eastAsia" w:ascii="宋体" w:hAnsi="宋体" w:eastAsia="宋体" w:cs="宋体"/>
                <w:bCs/>
                <w:color w:val="000000" w:themeColor="text1"/>
                <w14:textFill>
                  <w14:solidFill>
                    <w14:schemeClr w14:val="tx1"/>
                  </w14:solidFill>
                </w14:textFill>
              </w:rPr>
              <w:t>（</w:t>
            </w:r>
            <w:r>
              <w:rPr>
                <w:rFonts w:hint="eastAsia" w:ascii="宋体" w:hAnsi="宋体" w:cs="宋体"/>
                <w:bCs/>
                <w:color w:val="000000" w:themeColor="text1"/>
                <w14:textFill>
                  <w14:solidFill>
                    <w14:schemeClr w14:val="tx1"/>
                  </w14:solidFill>
                </w14:textFill>
              </w:rPr>
              <w:t>15</w:t>
            </w:r>
            <w:r>
              <w:rPr>
                <w:rFonts w:hint="eastAsia" w:ascii="宋体" w:hAnsi="宋体" w:eastAsia="宋体" w:cs="宋体"/>
                <w:bCs/>
                <w:color w:val="000000" w:themeColor="text1"/>
                <w14:textFill>
                  <w14:solidFill>
                    <w14:schemeClr w14:val="tx1"/>
                  </w14:solidFill>
                </w14:textFill>
              </w:rPr>
              <w:t>分）</w:t>
            </w:r>
          </w:p>
        </w:tc>
        <w:tc>
          <w:tcPr>
            <w:tcW w:w="84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15</w:t>
            </w:r>
            <w:r>
              <w:rPr>
                <w:rFonts w:hint="eastAsia" w:ascii="宋体" w:hAnsi="宋体" w:eastAsia="宋体" w:cs="宋体"/>
                <w:bCs/>
                <w:color w:val="000000" w:themeColor="text1"/>
                <w14:textFill>
                  <w14:solidFill>
                    <w14:schemeClr w14:val="tx1"/>
                  </w14:solidFill>
                </w14:textFill>
              </w:rPr>
              <w:t>分</w:t>
            </w:r>
          </w:p>
        </w:tc>
        <w:tc>
          <w:tcPr>
            <w:tcW w:w="5984" w:type="dxa"/>
            <w:tcBorders>
              <w:top w:val="single" w:color="auto" w:sz="6" w:space="0"/>
              <w:left w:val="single" w:color="auto" w:sz="6" w:space="0"/>
              <w:bottom w:val="single" w:color="auto" w:sz="6" w:space="0"/>
              <w:right w:val="single" w:color="auto" w:sz="2" w:space="0"/>
            </w:tcBorders>
            <w:vAlign w:val="center"/>
          </w:tcPr>
          <w:p>
            <w:pPr>
              <w:rPr>
                <w:rFonts w:hint="eastAsia" w:ascii="宋体" w:hAnsi="宋体" w:cs="Times New Roman"/>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满足资格审查条件要求</w:t>
            </w:r>
            <w:r>
              <w:rPr>
                <w:rFonts w:hint="eastAsia" w:ascii="宋体" w:hAnsi="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执业记录最低要求</w:t>
            </w:r>
            <w:r>
              <w:rPr>
                <w:rFonts w:hint="eastAsia" w:ascii="宋体" w:hAnsi="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得</w:t>
            </w:r>
            <w:r>
              <w:rPr>
                <w:rFonts w:hint="eastAsia" w:ascii="宋体" w:hAnsi="宋体"/>
                <w:color w:val="000000" w:themeColor="text1"/>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分；</w:t>
            </w:r>
          </w:p>
          <w:p>
            <w:pPr>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投标人近</w:t>
            </w:r>
            <w:r>
              <w:rPr>
                <w:rFonts w:hint="eastAsia" w:ascii="宋体" w:hAnsi="宋体"/>
                <w:color w:val="000000" w:themeColor="text1"/>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年内（</w:t>
            </w:r>
            <w:r>
              <w:rPr>
                <w:rFonts w:hint="eastAsia" w:ascii="宋体" w:hAnsi="宋体"/>
                <w:color w:val="000000" w:themeColor="text1"/>
                <w14:textFill>
                  <w14:solidFill>
                    <w14:schemeClr w14:val="tx1"/>
                  </w14:solidFill>
                </w14:textFill>
              </w:rPr>
              <w:t>2019</w:t>
            </w:r>
            <w:r>
              <w:rPr>
                <w:rFonts w:hint="eastAsia" w:ascii="宋体" w:hAnsi="宋体" w:eastAsia="宋体" w:cs="宋体"/>
                <w:color w:val="000000" w:themeColor="text1"/>
                <w14:textFill>
                  <w14:solidFill>
                    <w14:schemeClr w14:val="tx1"/>
                  </w14:solidFill>
                </w14:textFill>
              </w:rPr>
              <w:t>年</w:t>
            </w:r>
            <w:r>
              <w:rPr>
                <w:rFonts w:hint="eastAsia" w:ascii="宋体" w:hAnsi="宋体"/>
                <w:color w:val="000000" w:themeColor="text1"/>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月</w:t>
            </w:r>
            <w:r>
              <w:rPr>
                <w:rFonts w:hint="eastAsia" w:ascii="宋体" w:hAnsi="宋体"/>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日至今，以合同签订时间为准）每增加一家</w:t>
            </w:r>
            <w:r>
              <w:rPr>
                <w:rFonts w:hint="eastAsia" w:ascii="宋体" w:hAnsi="宋体"/>
                <w:color w:val="000000" w:themeColor="text1"/>
                <w14:textFill>
                  <w14:solidFill>
                    <w14:schemeClr w14:val="tx1"/>
                  </w14:solidFill>
                </w14:textFill>
              </w:rPr>
              <w:t>A</w:t>
            </w:r>
            <w:r>
              <w:rPr>
                <w:rFonts w:hint="eastAsia" w:ascii="宋体" w:hAnsi="宋体" w:eastAsia="宋体" w:cs="宋体"/>
                <w:color w:val="000000" w:themeColor="text1"/>
                <w14:textFill>
                  <w14:solidFill>
                    <w14:schemeClr w14:val="tx1"/>
                  </w14:solidFill>
                </w14:textFill>
              </w:rPr>
              <w:t>股上市公司年报审计服务项目业绩加</w:t>
            </w:r>
            <w:r>
              <w:rPr>
                <w:rFonts w:hint="eastAsia" w:ascii="宋体" w:hAnsi="宋体"/>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分，最多加</w:t>
            </w:r>
            <w:r>
              <w:rPr>
                <w:rFonts w:hint="eastAsia" w:ascii="宋体" w:hAnsi="宋体"/>
                <w:color w:val="000000" w:themeColor="text1"/>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840" w:hRule="atLeast"/>
          <w:jc w:val="center"/>
        </w:trPr>
        <w:tc>
          <w:tcPr>
            <w:tcW w:w="735" w:type="dxa"/>
            <w:vMerge w:val="restart"/>
            <w:tcBorders>
              <w:top w:val="single" w:color="auto" w:sz="6" w:space="0"/>
              <w:left w:val="single" w:color="auto" w:sz="2" w:space="0"/>
              <w:bottom w:val="single" w:color="auto" w:sz="6" w:space="0"/>
              <w:right w:val="single" w:color="auto" w:sz="6" w:space="0"/>
            </w:tcBorders>
            <w:vAlign w:val="center"/>
          </w:tcPr>
          <w:p>
            <w:pPr>
              <w:ind w:firstLine="157"/>
              <w:jc w:val="center"/>
              <w:rPr>
                <w:rFonts w:hint="eastAsia" w:ascii="宋体" w:hAnsi="宋体" w:cs="宋体"/>
                <w:bCs/>
                <w:color w:val="000000" w:themeColor="text1"/>
                <w:w w:val="90"/>
                <w14:textFill>
                  <w14:solidFill>
                    <w14:schemeClr w14:val="tx1"/>
                  </w14:solidFill>
                </w14:textFill>
              </w:rPr>
            </w:pPr>
            <w:r>
              <w:rPr>
                <w:rFonts w:hint="eastAsia" w:ascii="宋体" w:hAnsi="宋体" w:cs="宋体"/>
                <w:bCs/>
                <w:color w:val="000000" w:themeColor="text1"/>
                <w:w w:val="90"/>
                <w14:textFill>
                  <w14:solidFill>
                    <w14:schemeClr w14:val="tx1"/>
                  </w14:solidFill>
                </w14:textFill>
              </w:rPr>
              <w:t>2.2.4</w:t>
            </w:r>
            <w:r>
              <w:rPr>
                <w:rFonts w:hint="eastAsia" w:ascii="宋体" w:hAnsi="宋体" w:eastAsia="宋体" w:cs="宋体"/>
                <w:bCs/>
                <w:color w:val="000000" w:themeColor="text1"/>
                <w:w w:val="90"/>
                <w14:textFill>
                  <w14:solidFill>
                    <w14:schemeClr w14:val="tx1"/>
                  </w14:solidFill>
                </w14:textFill>
              </w:rPr>
              <w:t>（</w:t>
            </w:r>
            <w:r>
              <w:rPr>
                <w:rFonts w:hint="eastAsia" w:ascii="宋体" w:hAnsi="宋体" w:cs="宋体"/>
                <w:bCs/>
                <w:color w:val="000000" w:themeColor="text1"/>
                <w:w w:val="90"/>
                <w14:textFill>
                  <w14:solidFill>
                    <w14:schemeClr w14:val="tx1"/>
                  </w14:solidFill>
                </w14:textFill>
              </w:rPr>
              <w:t>3</w:t>
            </w:r>
            <w:r>
              <w:rPr>
                <w:rFonts w:hint="eastAsia" w:ascii="宋体" w:hAnsi="宋体" w:eastAsia="宋体" w:cs="宋体"/>
                <w:bCs/>
                <w:color w:val="000000" w:themeColor="text1"/>
                <w:w w:val="90"/>
                <w14:textFill>
                  <w14:solidFill>
                    <w14:schemeClr w14:val="tx1"/>
                  </w14:solidFill>
                </w14:textFill>
              </w:rPr>
              <w:t>）</w:t>
            </w:r>
          </w:p>
        </w:tc>
        <w:tc>
          <w:tcPr>
            <w:tcW w:w="2156" w:type="dxa"/>
            <w:gridSpan w:val="2"/>
            <w:vMerge w:val="restart"/>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宋体"/>
                <w:bCs/>
                <w:color w:val="000000" w:themeColor="text1"/>
                <w14:textFill>
                  <w14:solidFill>
                    <w14:schemeClr w14:val="tx1"/>
                  </w14:solidFill>
                </w14:textFill>
              </w:rPr>
            </w:pPr>
            <w:bookmarkStart w:id="6" w:name="_Hlk161750329"/>
            <w:r>
              <w:rPr>
                <w:rFonts w:hint="eastAsia" w:ascii="宋体" w:hAnsi="宋体" w:eastAsia="宋体" w:cs="宋体"/>
                <w:bCs/>
                <w:color w:val="000000" w:themeColor="text1"/>
                <w14:textFill>
                  <w14:solidFill>
                    <w14:schemeClr w14:val="tx1"/>
                  </w14:solidFill>
                </w14:textFill>
              </w:rPr>
              <w:t>人力及其他资源配备</w:t>
            </w:r>
            <w:bookmarkEnd w:id="6"/>
            <w:r>
              <w:rPr>
                <w:rFonts w:hint="eastAsia" w:ascii="宋体" w:hAnsi="宋体" w:eastAsia="宋体" w:cs="宋体"/>
                <w:bCs/>
                <w:color w:val="000000" w:themeColor="text1"/>
                <w14:textFill>
                  <w14:solidFill>
                    <w14:schemeClr w14:val="tx1"/>
                  </w14:solidFill>
                </w14:textFill>
              </w:rPr>
              <w:t>（</w:t>
            </w:r>
            <w:r>
              <w:rPr>
                <w:rFonts w:hint="eastAsia" w:ascii="宋体" w:hAnsi="宋体" w:cs="宋体"/>
                <w:bCs/>
                <w:color w:val="000000" w:themeColor="text1"/>
                <w14:textFill>
                  <w14:solidFill>
                    <w14:schemeClr w14:val="tx1"/>
                  </w14:solidFill>
                </w14:textFill>
              </w:rPr>
              <w:t>10</w:t>
            </w:r>
            <w:r>
              <w:rPr>
                <w:rFonts w:hint="eastAsia" w:ascii="宋体" w:hAnsi="宋体" w:eastAsia="宋体" w:cs="宋体"/>
                <w:bCs/>
                <w:color w:val="000000" w:themeColor="text1"/>
                <w14:textFill>
                  <w14:solidFill>
                    <w14:schemeClr w14:val="tx1"/>
                  </w14:solidFill>
                </w14:textFill>
              </w:rPr>
              <w:t>分）</w:t>
            </w:r>
          </w:p>
        </w:tc>
        <w:tc>
          <w:tcPr>
            <w:tcW w:w="843" w:type="dxa"/>
            <w:tcBorders>
              <w:top w:val="single" w:color="auto" w:sz="6" w:space="0"/>
              <w:left w:val="single" w:color="auto" w:sz="6" w:space="0"/>
              <w:bottom w:val="single" w:color="auto" w:sz="4" w:space="0"/>
              <w:right w:val="single" w:color="auto" w:sz="6" w:space="0"/>
            </w:tcBorders>
            <w:vAlign w:val="center"/>
          </w:tcPr>
          <w:p>
            <w:pPr>
              <w:jc w:val="center"/>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5</w:t>
            </w:r>
            <w:r>
              <w:rPr>
                <w:rFonts w:hint="eastAsia" w:ascii="宋体" w:hAnsi="宋体" w:eastAsia="宋体" w:cs="宋体"/>
                <w:bCs/>
                <w:color w:val="000000" w:themeColor="text1"/>
                <w14:textFill>
                  <w14:solidFill>
                    <w14:schemeClr w14:val="tx1"/>
                  </w14:solidFill>
                </w14:textFill>
              </w:rPr>
              <w:t>分</w:t>
            </w:r>
          </w:p>
        </w:tc>
        <w:tc>
          <w:tcPr>
            <w:tcW w:w="5984" w:type="dxa"/>
            <w:tcBorders>
              <w:top w:val="single" w:color="auto" w:sz="6" w:space="0"/>
              <w:left w:val="single" w:color="auto" w:sz="6" w:space="0"/>
              <w:bottom w:val="single" w:color="auto" w:sz="4" w:space="0"/>
              <w:right w:val="single" w:color="auto" w:sz="2" w:space="0"/>
            </w:tcBorders>
            <w:vAlign w:val="center"/>
          </w:tcPr>
          <w:p>
            <w:pPr>
              <w:rPr>
                <w:rFonts w:hint="eastAsia" w:ascii="宋体" w:hAnsi="宋体" w:cs="Times New Roman"/>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满足资格审查条件要求（人力及其他资源配备最低要求）中项目负责人要求，得</w:t>
            </w:r>
            <w:r>
              <w:rPr>
                <w:rFonts w:hint="eastAsia" w:ascii="宋体" w:hAnsi="宋体"/>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分；</w:t>
            </w:r>
          </w:p>
          <w:p>
            <w:pPr>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项目负责人近</w:t>
            </w:r>
            <w:r>
              <w:rPr>
                <w:rFonts w:hint="eastAsia" w:ascii="宋体" w:hAnsi="宋体"/>
                <w:color w:val="000000" w:themeColor="text1"/>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年内（</w:t>
            </w:r>
            <w:r>
              <w:rPr>
                <w:rFonts w:hint="eastAsia" w:ascii="宋体" w:hAnsi="宋体"/>
                <w:color w:val="000000" w:themeColor="text1"/>
                <w14:textFill>
                  <w14:solidFill>
                    <w14:schemeClr w14:val="tx1"/>
                  </w14:solidFill>
                </w14:textFill>
              </w:rPr>
              <w:t>2019</w:t>
            </w:r>
            <w:r>
              <w:rPr>
                <w:rFonts w:hint="eastAsia" w:ascii="宋体" w:hAnsi="宋体" w:eastAsia="宋体" w:cs="宋体"/>
                <w:color w:val="000000" w:themeColor="text1"/>
                <w14:textFill>
                  <w14:solidFill>
                    <w14:schemeClr w14:val="tx1"/>
                  </w14:solidFill>
                </w14:textFill>
              </w:rPr>
              <w:t>年</w:t>
            </w:r>
            <w:r>
              <w:rPr>
                <w:rFonts w:hint="eastAsia" w:ascii="宋体" w:hAnsi="宋体"/>
                <w:color w:val="000000" w:themeColor="text1"/>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月</w:t>
            </w:r>
            <w:r>
              <w:rPr>
                <w:rFonts w:hint="eastAsia" w:ascii="宋体" w:hAnsi="宋体"/>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日至今，以合同签订时间为准）每增加一家</w:t>
            </w:r>
            <w:r>
              <w:rPr>
                <w:rFonts w:hint="eastAsia" w:ascii="宋体" w:hAnsi="宋体"/>
                <w:color w:val="000000" w:themeColor="text1"/>
                <w14:textFill>
                  <w14:solidFill>
                    <w14:schemeClr w14:val="tx1"/>
                  </w14:solidFill>
                </w14:textFill>
              </w:rPr>
              <w:t>A</w:t>
            </w:r>
            <w:r>
              <w:rPr>
                <w:rFonts w:hint="eastAsia" w:ascii="宋体" w:hAnsi="宋体" w:eastAsia="宋体" w:cs="宋体"/>
                <w:color w:val="000000" w:themeColor="text1"/>
                <w14:textFill>
                  <w14:solidFill>
                    <w14:schemeClr w14:val="tx1"/>
                  </w14:solidFill>
                </w14:textFill>
              </w:rPr>
              <w:t>股上市公司年报审计服务项目的项目负责人业绩加</w:t>
            </w:r>
            <w:r>
              <w:rPr>
                <w:rFonts w:hint="eastAsia" w:ascii="宋体" w:hAnsi="宋体"/>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分，最多加</w:t>
            </w:r>
            <w:r>
              <w:rPr>
                <w:rFonts w:hint="eastAsia" w:ascii="宋体" w:hAnsi="宋体"/>
                <w:color w:val="000000" w:themeColor="text1"/>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780" w:hRule="atLeast"/>
          <w:jc w:val="center"/>
        </w:trPr>
        <w:tc>
          <w:tcPr>
            <w:tcW w:w="2891" w:type="dxa"/>
            <w:vMerge w:val="continue"/>
            <w:tcBorders>
              <w:top w:val="single" w:color="auto" w:sz="6" w:space="0"/>
              <w:left w:val="single" w:color="auto" w:sz="2" w:space="0"/>
              <w:bottom w:val="single" w:color="auto" w:sz="6" w:space="0"/>
              <w:right w:val="single" w:color="auto" w:sz="6" w:space="0"/>
            </w:tcBorders>
            <w:vAlign w:val="center"/>
          </w:tcPr>
          <w:p>
            <w:pPr>
              <w:rPr>
                <w:rFonts w:ascii="宋体" w:hAnsi="宋体" w:cs="宋体"/>
                <w:bCs/>
                <w:color w:val="000000" w:themeColor="text1"/>
                <w:w w:val="90"/>
                <w:kern w:val="2"/>
                <w14:textFill>
                  <w14:solidFill>
                    <w14:schemeClr w14:val="tx1"/>
                  </w14:solidFill>
                </w14:textFill>
              </w:rPr>
            </w:pPr>
          </w:p>
        </w:tc>
        <w:tc>
          <w:tcPr>
            <w:tcW w:w="3281" w:type="dxa"/>
            <w:gridSpan w:val="2"/>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cs="宋体"/>
                <w:bCs/>
                <w:color w:val="000000" w:themeColor="text1"/>
                <w:kern w:val="2"/>
                <w14:textFill>
                  <w14:solidFill>
                    <w14:schemeClr w14:val="tx1"/>
                  </w14:solidFill>
                </w14:textFill>
              </w:rPr>
            </w:pPr>
          </w:p>
        </w:tc>
        <w:tc>
          <w:tcPr>
            <w:tcW w:w="843" w:type="dxa"/>
            <w:tcBorders>
              <w:top w:val="single" w:color="auto" w:sz="4" w:space="0"/>
              <w:left w:val="single" w:color="auto" w:sz="6" w:space="0"/>
              <w:bottom w:val="single" w:color="auto" w:sz="6" w:space="0"/>
              <w:right w:val="single" w:color="auto" w:sz="6" w:space="0"/>
            </w:tcBorders>
            <w:vAlign w:val="center"/>
          </w:tcPr>
          <w:p>
            <w:pPr>
              <w:jc w:val="center"/>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5</w:t>
            </w:r>
            <w:r>
              <w:rPr>
                <w:rFonts w:hint="eastAsia" w:ascii="宋体" w:hAnsi="宋体" w:eastAsia="宋体" w:cs="宋体"/>
                <w:bCs/>
                <w:color w:val="000000" w:themeColor="text1"/>
                <w14:textFill>
                  <w14:solidFill>
                    <w14:schemeClr w14:val="tx1"/>
                  </w14:solidFill>
                </w14:textFill>
              </w:rPr>
              <w:t>分</w:t>
            </w:r>
          </w:p>
        </w:tc>
        <w:tc>
          <w:tcPr>
            <w:tcW w:w="5984" w:type="dxa"/>
            <w:tcBorders>
              <w:top w:val="single" w:color="auto" w:sz="4" w:space="0"/>
              <w:left w:val="single" w:color="auto" w:sz="6" w:space="0"/>
              <w:bottom w:val="single" w:color="auto" w:sz="6" w:space="0"/>
              <w:right w:val="single" w:color="auto" w:sz="2" w:space="0"/>
            </w:tcBorders>
            <w:vAlign w:val="center"/>
          </w:tcPr>
          <w:p>
            <w:pPr>
              <w:rPr>
                <w:rFonts w:hint="eastAsia" w:ascii="宋体" w:hAnsi="宋体" w:cs="Times New Roman"/>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满足资格审查条件要求（人力及其他资源配备最低要求）中项目组成员要求，得</w:t>
            </w:r>
            <w:r>
              <w:rPr>
                <w:rFonts w:hint="eastAsia" w:ascii="宋体" w:hAnsi="宋体"/>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分；</w:t>
            </w:r>
          </w:p>
          <w:p>
            <w:pPr>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项目组成员每有一人具备注册会计师执业资格，且参与过一家上市公司年报审计服务的项目经验加</w:t>
            </w:r>
            <w:r>
              <w:rPr>
                <w:rFonts w:hint="eastAsia" w:ascii="宋体" w:hAnsi="宋体"/>
                <w:color w:val="000000" w:themeColor="text1"/>
                <w14:textFill>
                  <w14:solidFill>
                    <w14:schemeClr w14:val="tx1"/>
                  </w14:solidFill>
                </w14:textFill>
              </w:rPr>
              <w:t>0.5</w:t>
            </w:r>
            <w:r>
              <w:rPr>
                <w:rFonts w:hint="eastAsia" w:ascii="宋体" w:hAnsi="宋体" w:eastAsia="宋体" w:cs="宋体"/>
                <w:color w:val="000000" w:themeColor="text1"/>
                <w14:textFill>
                  <w14:solidFill>
                    <w14:schemeClr w14:val="tx1"/>
                  </w14:solidFill>
                </w14:textFill>
              </w:rPr>
              <w:t>分，最高加</w:t>
            </w:r>
            <w:r>
              <w:rPr>
                <w:rFonts w:hint="eastAsia" w:ascii="宋体" w:hAnsi="宋体"/>
                <w:color w:val="000000" w:themeColor="text1"/>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996" w:hRule="atLeast"/>
          <w:jc w:val="center"/>
        </w:trPr>
        <w:tc>
          <w:tcPr>
            <w:tcW w:w="735" w:type="dxa"/>
            <w:vMerge w:val="restart"/>
            <w:tcBorders>
              <w:top w:val="single" w:color="auto" w:sz="6" w:space="0"/>
              <w:left w:val="single" w:color="auto" w:sz="2" w:space="0"/>
              <w:bottom w:val="single" w:color="auto" w:sz="6" w:space="0"/>
              <w:right w:val="single" w:color="auto" w:sz="2" w:space="0"/>
            </w:tcBorders>
            <w:vAlign w:val="center"/>
          </w:tcPr>
          <w:p>
            <w:pPr>
              <w:ind w:firstLine="157"/>
              <w:jc w:val="center"/>
              <w:rPr>
                <w:rFonts w:hint="eastAsia" w:ascii="宋体" w:hAnsi="宋体" w:cs="宋体"/>
                <w:bCs/>
                <w:color w:val="000000" w:themeColor="text1"/>
                <w:w w:val="90"/>
                <w14:textFill>
                  <w14:solidFill>
                    <w14:schemeClr w14:val="tx1"/>
                  </w14:solidFill>
                </w14:textFill>
              </w:rPr>
            </w:pPr>
            <w:r>
              <w:rPr>
                <w:rFonts w:hint="eastAsia" w:ascii="宋体" w:hAnsi="宋体" w:cs="宋体"/>
                <w:bCs/>
                <w:color w:val="000000" w:themeColor="text1"/>
                <w:w w:val="90"/>
                <w14:textFill>
                  <w14:solidFill>
                    <w14:schemeClr w14:val="tx1"/>
                  </w14:solidFill>
                </w14:textFill>
              </w:rPr>
              <w:t>2.2.4</w:t>
            </w:r>
            <w:r>
              <w:rPr>
                <w:rFonts w:hint="eastAsia" w:ascii="宋体" w:hAnsi="宋体" w:eastAsia="宋体" w:cs="宋体"/>
                <w:bCs/>
                <w:color w:val="000000" w:themeColor="text1"/>
                <w:w w:val="90"/>
                <w14:textFill>
                  <w14:solidFill>
                    <w14:schemeClr w14:val="tx1"/>
                  </w14:solidFill>
                </w14:textFill>
              </w:rPr>
              <w:t>（</w:t>
            </w:r>
            <w:r>
              <w:rPr>
                <w:rFonts w:hint="eastAsia" w:ascii="宋体" w:hAnsi="宋体" w:cs="宋体"/>
                <w:bCs/>
                <w:color w:val="000000" w:themeColor="text1"/>
                <w:w w:val="90"/>
                <w14:textFill>
                  <w14:solidFill>
                    <w14:schemeClr w14:val="tx1"/>
                  </w14:solidFill>
                </w14:textFill>
              </w:rPr>
              <w:t>4</w:t>
            </w:r>
            <w:r>
              <w:rPr>
                <w:rFonts w:hint="eastAsia" w:ascii="宋体" w:hAnsi="宋体" w:eastAsia="宋体" w:cs="宋体"/>
                <w:bCs/>
                <w:color w:val="000000" w:themeColor="text1"/>
                <w:w w:val="90"/>
                <w14:textFill>
                  <w14:solidFill>
                    <w14:schemeClr w14:val="tx1"/>
                  </w14:solidFill>
                </w14:textFill>
              </w:rPr>
              <w:t>）</w:t>
            </w:r>
          </w:p>
        </w:tc>
        <w:tc>
          <w:tcPr>
            <w:tcW w:w="1031" w:type="dxa"/>
            <w:vMerge w:val="restart"/>
            <w:tcBorders>
              <w:top w:val="single" w:color="auto" w:sz="6" w:space="0"/>
              <w:left w:val="single" w:color="auto" w:sz="2" w:space="0"/>
              <w:bottom w:val="single" w:color="auto" w:sz="6" w:space="0"/>
              <w:right w:val="single" w:color="auto" w:sz="2" w:space="0"/>
            </w:tcBorders>
            <w:vAlign w:val="center"/>
          </w:tcPr>
          <w:p>
            <w:pPr>
              <w:spacing w:before="156" w:beforeLines="50" w:after="156" w:afterLines="50"/>
              <w:jc w:val="center"/>
              <w:rPr>
                <w:rFonts w:hint="eastAsia" w:ascii="宋体" w:hAnsi="宋体" w:cs="宋体"/>
                <w:bCs/>
                <w:color w:val="000000" w:themeColor="text1"/>
                <w14:textFill>
                  <w14:solidFill>
                    <w14:schemeClr w14:val="tx1"/>
                  </w14:solidFill>
                </w14:textFill>
              </w:rPr>
            </w:pPr>
            <w:bookmarkStart w:id="7" w:name="_Hlk161750345"/>
            <w:r>
              <w:rPr>
                <w:rFonts w:hint="eastAsia" w:ascii="宋体" w:hAnsi="宋体" w:eastAsia="宋体" w:cs="宋体"/>
                <w:bCs/>
                <w:color w:val="000000" w:themeColor="text1"/>
                <w14:textFill>
                  <w14:solidFill>
                    <w14:schemeClr w14:val="tx1"/>
                  </w14:solidFill>
                </w14:textFill>
              </w:rPr>
              <w:t>服务方案</w:t>
            </w:r>
            <w:bookmarkEnd w:id="7"/>
          </w:p>
          <w:p>
            <w:pPr>
              <w:spacing w:before="156" w:beforeLines="50" w:after="156" w:afterLines="50"/>
              <w:jc w:val="center"/>
              <w:rPr>
                <w:rFonts w:hint="eastAsia" w:ascii="宋体" w:hAnsi="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w:t>
            </w:r>
            <w:r>
              <w:rPr>
                <w:rFonts w:hint="eastAsia" w:ascii="宋体" w:hAnsi="宋体" w:cs="宋体"/>
                <w:bCs/>
                <w:color w:val="000000" w:themeColor="text1"/>
                <w14:textFill>
                  <w14:solidFill>
                    <w14:schemeClr w14:val="tx1"/>
                  </w14:solidFill>
                </w14:textFill>
              </w:rPr>
              <w:t>60</w:t>
            </w:r>
            <w:r>
              <w:rPr>
                <w:rFonts w:hint="eastAsia" w:ascii="宋体" w:hAnsi="宋体" w:eastAsia="宋体" w:cs="宋体"/>
                <w:bCs/>
                <w:color w:val="000000" w:themeColor="text1"/>
                <w14:textFill>
                  <w14:solidFill>
                    <w14:schemeClr w14:val="tx1"/>
                  </w14:solidFill>
                </w14:textFill>
              </w:rPr>
              <w:t>分）</w:t>
            </w:r>
          </w:p>
        </w:tc>
        <w:tc>
          <w:tcPr>
            <w:tcW w:w="1125" w:type="dxa"/>
            <w:tcBorders>
              <w:top w:val="single" w:color="auto" w:sz="6" w:space="0"/>
              <w:left w:val="single" w:color="auto" w:sz="2" w:space="0"/>
              <w:bottom w:val="single" w:color="auto" w:sz="6" w:space="0"/>
              <w:right w:val="single" w:color="auto" w:sz="6" w:space="0"/>
            </w:tcBorders>
            <w:vAlign w:val="center"/>
          </w:tcPr>
          <w:p>
            <w:pPr>
              <w:jc w:val="center"/>
              <w:rPr>
                <w:rFonts w:hint="eastAsia" w:ascii="宋体" w:hAnsi="宋体" w:cs="宋体"/>
                <w:b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工作方案</w:t>
            </w:r>
          </w:p>
        </w:tc>
        <w:tc>
          <w:tcPr>
            <w:tcW w:w="84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10</w:t>
            </w:r>
            <w:r>
              <w:rPr>
                <w:rFonts w:hint="eastAsia" w:ascii="宋体" w:hAnsi="宋体" w:eastAsia="宋体" w:cs="宋体"/>
                <w:bCs/>
                <w:color w:val="000000" w:themeColor="text1"/>
                <w14:textFill>
                  <w14:solidFill>
                    <w14:schemeClr w14:val="tx1"/>
                  </w14:solidFill>
                </w14:textFill>
              </w:rPr>
              <w:t>分</w:t>
            </w:r>
          </w:p>
        </w:tc>
        <w:tc>
          <w:tcPr>
            <w:tcW w:w="5984" w:type="dxa"/>
            <w:tcBorders>
              <w:top w:val="single" w:color="auto" w:sz="6" w:space="0"/>
              <w:left w:val="single" w:color="auto" w:sz="6" w:space="0"/>
              <w:bottom w:val="single" w:color="auto" w:sz="6" w:space="0"/>
              <w:right w:val="single" w:color="auto" w:sz="2" w:space="0"/>
            </w:tcBorders>
            <w:vAlign w:val="center"/>
          </w:tcPr>
          <w:p>
            <w:pPr>
              <w:rPr>
                <w:rFonts w:hint="eastAsia" w:ascii="宋体" w:hAnsi="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第一档，项目方案中包含年度审计的实施目标、范围、计划、程序、时间和方法等基础内容；延伸有审计方案现场和非现场审计的机构及数量确定原则和方法；工作和沟通机制，工作成果清单；审计方案对于最新经济、金融形势及监管要求和潜在风险领域和新兴业务领域的关注响应情况；增值服务具有较强的针对性，并提供充足的资源以确保增值服务的质量，得</w:t>
            </w:r>
            <w:r>
              <w:rPr>
                <w:rFonts w:hint="eastAsia" w:ascii="宋体" w:hAnsi="宋体" w:cs="宋体"/>
                <w:bCs/>
                <w:color w:val="000000" w:themeColor="text1"/>
                <w14:textFill>
                  <w14:solidFill>
                    <w14:schemeClr w14:val="tx1"/>
                  </w14:solidFill>
                </w14:textFill>
              </w:rPr>
              <w:t>8-10</w:t>
            </w:r>
            <w:r>
              <w:rPr>
                <w:rFonts w:hint="eastAsia" w:ascii="宋体" w:hAnsi="宋体" w:eastAsia="宋体" w:cs="宋体"/>
                <w:bCs/>
                <w:color w:val="000000" w:themeColor="text1"/>
                <w14:textFill>
                  <w14:solidFill>
                    <w14:schemeClr w14:val="tx1"/>
                  </w14:solidFill>
                </w14:textFill>
              </w:rPr>
              <w:t>分；</w:t>
            </w:r>
          </w:p>
          <w:p>
            <w:pPr>
              <w:rPr>
                <w:rFonts w:hint="eastAsia" w:ascii="宋体" w:hAnsi="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第二档，项目方案中包含年度审计的实施目标、范围、计划、程序、时间和方法等基础内容；延伸审计方案现场和非现场审计的机构及数量确定原则和方法；有工作和沟通机制，工作成果清单，得</w:t>
            </w:r>
            <w:r>
              <w:rPr>
                <w:rFonts w:hint="eastAsia" w:ascii="宋体" w:hAnsi="宋体" w:cs="宋体"/>
                <w:bCs/>
                <w:color w:val="000000" w:themeColor="text1"/>
                <w14:textFill>
                  <w14:solidFill>
                    <w14:schemeClr w14:val="tx1"/>
                  </w14:solidFill>
                </w14:textFill>
              </w:rPr>
              <w:t>6-8</w:t>
            </w:r>
            <w:r>
              <w:rPr>
                <w:rFonts w:hint="eastAsia" w:ascii="宋体" w:hAnsi="宋体" w:eastAsia="宋体" w:cs="宋体"/>
                <w:bCs/>
                <w:color w:val="000000" w:themeColor="text1"/>
                <w14:textFill>
                  <w14:solidFill>
                    <w14:schemeClr w14:val="tx1"/>
                  </w14:solidFill>
                </w14:textFill>
              </w:rPr>
              <w:t>分；</w:t>
            </w:r>
          </w:p>
          <w:p>
            <w:pPr>
              <w:rPr>
                <w:rFonts w:hint="eastAsia" w:ascii="宋体" w:hAnsi="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第三档，项目方案中包含年度审计的实施目标、范围、计划、程序、时间和方法等基础内容，得</w:t>
            </w:r>
            <w:r>
              <w:rPr>
                <w:rFonts w:hint="eastAsia" w:ascii="宋体" w:hAnsi="宋体" w:cs="宋体"/>
                <w:bCs/>
                <w:color w:val="000000" w:themeColor="text1"/>
                <w14:textFill>
                  <w14:solidFill>
                    <w14:schemeClr w14:val="tx1"/>
                  </w14:solidFill>
                </w14:textFill>
              </w:rPr>
              <w:t>6</w:t>
            </w:r>
            <w:r>
              <w:rPr>
                <w:rFonts w:hint="eastAsia" w:ascii="宋体" w:hAnsi="宋体" w:eastAsia="宋体" w:cs="宋体"/>
                <w:bCs/>
                <w:color w:val="000000" w:themeColor="text1"/>
                <w14:textFill>
                  <w14:solidFill>
                    <w14:schemeClr w14:val="tx1"/>
                  </w14:solidFill>
                </w14:textFill>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050" w:hRule="exact"/>
          <w:jc w:val="center"/>
        </w:trPr>
        <w:tc>
          <w:tcPr>
            <w:tcW w:w="2891" w:type="dxa"/>
            <w:vMerge w:val="continue"/>
            <w:tcBorders>
              <w:top w:val="single" w:color="auto" w:sz="6" w:space="0"/>
              <w:left w:val="single" w:color="auto" w:sz="2" w:space="0"/>
              <w:bottom w:val="single" w:color="auto" w:sz="6" w:space="0"/>
              <w:right w:val="single" w:color="auto" w:sz="2" w:space="0"/>
            </w:tcBorders>
            <w:vAlign w:val="center"/>
          </w:tcPr>
          <w:p>
            <w:pPr>
              <w:rPr>
                <w:rFonts w:ascii="宋体" w:hAnsi="宋体" w:cs="宋体"/>
                <w:bCs/>
                <w:color w:val="000000" w:themeColor="text1"/>
                <w:w w:val="90"/>
                <w:kern w:val="2"/>
                <w14:textFill>
                  <w14:solidFill>
                    <w14:schemeClr w14:val="tx1"/>
                  </w14:solidFill>
                </w14:textFill>
              </w:rPr>
            </w:pPr>
          </w:p>
        </w:tc>
        <w:tc>
          <w:tcPr>
            <w:tcW w:w="2156" w:type="dxa"/>
            <w:vMerge w:val="continue"/>
            <w:tcBorders>
              <w:top w:val="single" w:color="auto" w:sz="6" w:space="0"/>
              <w:left w:val="single" w:color="auto" w:sz="2" w:space="0"/>
              <w:bottom w:val="single" w:color="auto" w:sz="6" w:space="0"/>
              <w:right w:val="single" w:color="auto" w:sz="2" w:space="0"/>
            </w:tcBorders>
            <w:vAlign w:val="center"/>
          </w:tcPr>
          <w:p>
            <w:pPr>
              <w:rPr>
                <w:rFonts w:ascii="宋体" w:hAnsi="宋体" w:cs="宋体"/>
                <w:bCs/>
                <w:color w:val="000000" w:themeColor="text1"/>
                <w:kern w:val="2"/>
                <w14:textFill>
                  <w14:solidFill>
                    <w14:schemeClr w14:val="tx1"/>
                  </w14:solidFill>
                </w14:textFill>
              </w:rPr>
            </w:pPr>
          </w:p>
        </w:tc>
        <w:tc>
          <w:tcPr>
            <w:tcW w:w="1125" w:type="dxa"/>
            <w:tcBorders>
              <w:top w:val="single" w:color="auto" w:sz="6" w:space="0"/>
              <w:left w:val="single" w:color="auto" w:sz="2" w:space="0"/>
              <w:bottom w:val="single" w:color="auto" w:sz="6" w:space="0"/>
              <w:right w:val="single" w:color="auto" w:sz="6" w:space="0"/>
            </w:tcBorders>
            <w:vAlign w:val="center"/>
          </w:tcPr>
          <w:p>
            <w:pPr>
              <w:jc w:val="center"/>
              <w:rPr>
                <w:rFonts w:hint="eastAsia" w:ascii="宋体" w:hAnsi="宋体" w:cs="宋体"/>
                <w:b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质量管理水平</w:t>
            </w:r>
          </w:p>
        </w:tc>
        <w:tc>
          <w:tcPr>
            <w:tcW w:w="84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40</w:t>
            </w:r>
            <w:r>
              <w:rPr>
                <w:rFonts w:hint="eastAsia" w:ascii="宋体" w:hAnsi="宋体" w:eastAsia="宋体" w:cs="宋体"/>
                <w:bCs/>
                <w:color w:val="000000" w:themeColor="text1"/>
                <w14:textFill>
                  <w14:solidFill>
                    <w14:schemeClr w14:val="tx1"/>
                  </w14:solidFill>
                </w14:textFill>
              </w:rPr>
              <w:t>分</w:t>
            </w:r>
          </w:p>
        </w:tc>
        <w:tc>
          <w:tcPr>
            <w:tcW w:w="5984" w:type="dxa"/>
            <w:tcBorders>
              <w:top w:val="single" w:color="auto" w:sz="6" w:space="0"/>
              <w:left w:val="single" w:color="auto" w:sz="6" w:space="0"/>
              <w:bottom w:val="single" w:color="auto" w:sz="6" w:space="0"/>
              <w:right w:val="single" w:color="auto" w:sz="2" w:space="0"/>
            </w:tcBorders>
            <w:vAlign w:val="center"/>
          </w:tcPr>
          <w:p>
            <w:pPr>
              <w:rPr>
                <w:rFonts w:hint="eastAsia" w:ascii="宋体" w:hAnsi="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第一档，有详实且完整的内部质量控制方案、内部防火墙隔离机制，避免利益冲突的措施、保密制度和监督措施，且对项目独立性做出承诺；内部质量控制方案应涵盖项目咨询、意见分歧解决、项目质量复核、项目质量检查、质量管理缺陷识别与整改等方面内容，得</w:t>
            </w:r>
            <w:r>
              <w:rPr>
                <w:rFonts w:hint="eastAsia" w:ascii="宋体" w:hAnsi="宋体" w:cs="宋体"/>
                <w:bCs/>
                <w:color w:val="000000" w:themeColor="text1"/>
                <w14:textFill>
                  <w14:solidFill>
                    <w14:schemeClr w14:val="tx1"/>
                  </w14:solidFill>
                </w14:textFill>
              </w:rPr>
              <w:t>32-40</w:t>
            </w:r>
            <w:r>
              <w:rPr>
                <w:rFonts w:hint="eastAsia" w:ascii="宋体" w:hAnsi="宋体" w:eastAsia="宋体" w:cs="宋体"/>
                <w:bCs/>
                <w:color w:val="000000" w:themeColor="text1"/>
                <w14:textFill>
                  <w14:solidFill>
                    <w14:schemeClr w14:val="tx1"/>
                  </w14:solidFill>
                </w14:textFill>
              </w:rPr>
              <w:t>分；</w:t>
            </w:r>
          </w:p>
          <w:p>
            <w:pPr>
              <w:rPr>
                <w:rFonts w:hint="eastAsia" w:ascii="宋体" w:hAnsi="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第二档，有较为详尽的内部质量控制方案、内部防火墙隔离机制，避免利益冲突的措施、保密制度和监督措施，但仍存在一定漏洞的，得</w:t>
            </w:r>
            <w:r>
              <w:rPr>
                <w:rFonts w:hint="eastAsia" w:ascii="宋体" w:hAnsi="宋体" w:cs="宋体"/>
                <w:bCs/>
                <w:color w:val="000000" w:themeColor="text1"/>
                <w14:textFill>
                  <w14:solidFill>
                    <w14:schemeClr w14:val="tx1"/>
                  </w14:solidFill>
                </w14:textFill>
              </w:rPr>
              <w:t>24-32</w:t>
            </w:r>
            <w:r>
              <w:rPr>
                <w:rFonts w:hint="eastAsia" w:ascii="宋体" w:hAnsi="宋体" w:eastAsia="宋体" w:cs="宋体"/>
                <w:bCs/>
                <w:color w:val="000000" w:themeColor="text1"/>
                <w14:textFill>
                  <w14:solidFill>
                    <w14:schemeClr w14:val="tx1"/>
                  </w14:solidFill>
                </w14:textFill>
              </w:rPr>
              <w:t>分；</w:t>
            </w:r>
          </w:p>
          <w:p>
            <w:pPr>
              <w:rPr>
                <w:rFonts w:hint="eastAsia" w:ascii="宋体" w:hAnsi="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第三档，有简单的内部质量控制方案、内部防火墙隔离机制，避免利益冲突的措施、保密制度和监督措施，得</w:t>
            </w:r>
            <w:r>
              <w:rPr>
                <w:rFonts w:hint="eastAsia" w:ascii="宋体" w:hAnsi="宋体" w:cs="宋体"/>
                <w:bCs/>
                <w:color w:val="000000" w:themeColor="text1"/>
                <w14:textFill>
                  <w14:solidFill>
                    <w14:schemeClr w14:val="tx1"/>
                  </w14:solidFill>
                </w14:textFill>
              </w:rPr>
              <w:t>24</w:t>
            </w:r>
            <w:r>
              <w:rPr>
                <w:rFonts w:hint="eastAsia" w:ascii="宋体" w:hAnsi="宋体" w:eastAsia="宋体" w:cs="宋体"/>
                <w:bCs/>
                <w:color w:val="000000" w:themeColor="text1"/>
                <w14:textFill>
                  <w14:solidFill>
                    <w14:schemeClr w14:val="tx1"/>
                  </w14:solidFill>
                </w14:textFill>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808" w:hRule="exact"/>
          <w:jc w:val="center"/>
        </w:trPr>
        <w:tc>
          <w:tcPr>
            <w:tcW w:w="2891" w:type="dxa"/>
            <w:vMerge w:val="continue"/>
            <w:tcBorders>
              <w:top w:val="single" w:color="auto" w:sz="6" w:space="0"/>
              <w:left w:val="single" w:color="auto" w:sz="2" w:space="0"/>
              <w:bottom w:val="single" w:color="auto" w:sz="6" w:space="0"/>
              <w:right w:val="single" w:color="auto" w:sz="2" w:space="0"/>
            </w:tcBorders>
            <w:vAlign w:val="center"/>
          </w:tcPr>
          <w:p>
            <w:pPr>
              <w:rPr>
                <w:rFonts w:ascii="宋体" w:hAnsi="宋体" w:cs="宋体"/>
                <w:bCs/>
                <w:color w:val="000000" w:themeColor="text1"/>
                <w:w w:val="90"/>
                <w:kern w:val="2"/>
                <w14:textFill>
                  <w14:solidFill>
                    <w14:schemeClr w14:val="tx1"/>
                  </w14:solidFill>
                </w14:textFill>
              </w:rPr>
            </w:pPr>
          </w:p>
        </w:tc>
        <w:tc>
          <w:tcPr>
            <w:tcW w:w="2156" w:type="dxa"/>
            <w:vMerge w:val="continue"/>
            <w:tcBorders>
              <w:top w:val="single" w:color="auto" w:sz="6" w:space="0"/>
              <w:left w:val="single" w:color="auto" w:sz="2" w:space="0"/>
              <w:bottom w:val="single" w:color="auto" w:sz="6" w:space="0"/>
              <w:right w:val="single" w:color="auto" w:sz="2" w:space="0"/>
            </w:tcBorders>
            <w:vAlign w:val="center"/>
          </w:tcPr>
          <w:p>
            <w:pPr>
              <w:rPr>
                <w:rFonts w:ascii="宋体" w:hAnsi="宋体" w:cs="宋体"/>
                <w:bCs/>
                <w:color w:val="000000" w:themeColor="text1"/>
                <w:kern w:val="2"/>
                <w14:textFill>
                  <w14:solidFill>
                    <w14:schemeClr w14:val="tx1"/>
                  </w14:solidFill>
                </w14:textFill>
              </w:rPr>
            </w:pPr>
          </w:p>
        </w:tc>
        <w:tc>
          <w:tcPr>
            <w:tcW w:w="1125" w:type="dxa"/>
            <w:tcBorders>
              <w:top w:val="single" w:color="auto" w:sz="6" w:space="0"/>
              <w:left w:val="single" w:color="auto" w:sz="2" w:space="0"/>
              <w:bottom w:val="single" w:color="auto" w:sz="6" w:space="0"/>
              <w:right w:val="single" w:color="auto" w:sz="6" w:space="0"/>
            </w:tcBorders>
            <w:vAlign w:val="center"/>
          </w:tcPr>
          <w:p>
            <w:pPr>
              <w:jc w:val="center"/>
              <w:rPr>
                <w:rFonts w:hint="eastAsia" w:ascii="宋体" w:hAnsi="宋体" w:cs="宋体"/>
                <w:b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信息安全管理</w:t>
            </w:r>
          </w:p>
        </w:tc>
        <w:tc>
          <w:tcPr>
            <w:tcW w:w="84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5</w:t>
            </w:r>
            <w:r>
              <w:rPr>
                <w:rFonts w:hint="eastAsia" w:ascii="宋体" w:hAnsi="宋体" w:eastAsia="宋体" w:cs="宋体"/>
                <w:bCs/>
                <w:color w:val="000000" w:themeColor="text1"/>
                <w14:textFill>
                  <w14:solidFill>
                    <w14:schemeClr w14:val="tx1"/>
                  </w14:solidFill>
                </w14:textFill>
              </w:rPr>
              <w:t>分</w:t>
            </w:r>
          </w:p>
        </w:tc>
        <w:tc>
          <w:tcPr>
            <w:tcW w:w="5984" w:type="dxa"/>
            <w:tcBorders>
              <w:top w:val="single" w:color="auto" w:sz="6" w:space="0"/>
              <w:left w:val="single" w:color="auto" w:sz="6" w:space="0"/>
              <w:bottom w:val="single" w:color="auto" w:sz="6" w:space="0"/>
              <w:right w:val="single" w:color="auto" w:sz="2" w:space="0"/>
            </w:tcBorders>
            <w:vAlign w:val="center"/>
          </w:tcPr>
          <w:p>
            <w:pPr>
              <w:rPr>
                <w:rFonts w:hint="eastAsia" w:ascii="宋体" w:hAnsi="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第一档，在信息安全工作底稿数据保护方面科学合理，内容详细，得</w:t>
            </w:r>
            <w:r>
              <w:rPr>
                <w:rFonts w:hint="eastAsia" w:ascii="宋体" w:hAnsi="宋体" w:cs="宋体"/>
                <w:bCs/>
                <w:color w:val="000000" w:themeColor="text1"/>
                <w14:textFill>
                  <w14:solidFill>
                    <w14:schemeClr w14:val="tx1"/>
                  </w14:solidFill>
                </w14:textFill>
              </w:rPr>
              <w:t>4-5</w:t>
            </w:r>
            <w:r>
              <w:rPr>
                <w:rFonts w:hint="eastAsia" w:ascii="宋体" w:hAnsi="宋体" w:eastAsia="宋体" w:cs="宋体"/>
                <w:bCs/>
                <w:color w:val="000000" w:themeColor="text1"/>
                <w14:textFill>
                  <w14:solidFill>
                    <w14:schemeClr w14:val="tx1"/>
                  </w14:solidFill>
                </w14:textFill>
              </w:rPr>
              <w:t>分；</w:t>
            </w:r>
          </w:p>
          <w:p>
            <w:pPr>
              <w:rPr>
                <w:rFonts w:hint="eastAsia" w:ascii="宋体" w:hAnsi="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第二档，在信息安全工作底稿数据保护方面较科学合理，内容较详细，得</w:t>
            </w:r>
            <w:r>
              <w:rPr>
                <w:rFonts w:hint="eastAsia" w:ascii="宋体" w:hAnsi="宋体" w:cs="宋体"/>
                <w:bCs/>
                <w:color w:val="000000" w:themeColor="text1"/>
                <w14:textFill>
                  <w14:solidFill>
                    <w14:schemeClr w14:val="tx1"/>
                  </w14:solidFill>
                </w14:textFill>
              </w:rPr>
              <w:t>3-4</w:t>
            </w:r>
            <w:r>
              <w:rPr>
                <w:rFonts w:hint="eastAsia" w:ascii="宋体" w:hAnsi="宋体" w:eastAsia="宋体" w:cs="宋体"/>
                <w:bCs/>
                <w:color w:val="000000" w:themeColor="text1"/>
                <w14:textFill>
                  <w14:solidFill>
                    <w14:schemeClr w14:val="tx1"/>
                  </w14:solidFill>
                </w14:textFill>
              </w:rPr>
              <w:t>分；</w:t>
            </w:r>
          </w:p>
          <w:p>
            <w:pPr>
              <w:rPr>
                <w:rFonts w:hint="eastAsia" w:ascii="宋体" w:hAnsi="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第三档，在信息安全工作底稿数据保护方面基本合理，内容简单，得</w:t>
            </w:r>
            <w:r>
              <w:rPr>
                <w:rFonts w:hint="eastAsia" w:ascii="宋体" w:hAnsi="宋体" w:cs="宋体"/>
                <w:bCs/>
                <w:color w:val="000000" w:themeColor="text1"/>
                <w14:textFill>
                  <w14:solidFill>
                    <w14:schemeClr w14:val="tx1"/>
                  </w14:solidFill>
                </w14:textFill>
              </w:rPr>
              <w:t>3</w:t>
            </w:r>
            <w:r>
              <w:rPr>
                <w:rFonts w:hint="eastAsia" w:ascii="宋体" w:hAnsi="宋体" w:eastAsia="宋体" w:cs="宋体"/>
                <w:bCs/>
                <w:color w:val="000000" w:themeColor="text1"/>
                <w14:textFill>
                  <w14:solidFill>
                    <w14:schemeClr w14:val="tx1"/>
                  </w14:solidFill>
                </w14:textFill>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075" w:hRule="exact"/>
          <w:jc w:val="center"/>
        </w:trPr>
        <w:tc>
          <w:tcPr>
            <w:tcW w:w="2891" w:type="dxa"/>
            <w:vMerge w:val="continue"/>
            <w:tcBorders>
              <w:top w:val="single" w:color="auto" w:sz="6" w:space="0"/>
              <w:left w:val="single" w:color="auto" w:sz="2" w:space="0"/>
              <w:bottom w:val="single" w:color="auto" w:sz="6" w:space="0"/>
              <w:right w:val="single" w:color="auto" w:sz="2" w:space="0"/>
            </w:tcBorders>
            <w:vAlign w:val="center"/>
          </w:tcPr>
          <w:p>
            <w:pPr>
              <w:rPr>
                <w:rFonts w:ascii="宋体" w:hAnsi="宋体" w:cs="宋体"/>
                <w:bCs/>
                <w:color w:val="000000" w:themeColor="text1"/>
                <w:w w:val="90"/>
                <w:kern w:val="2"/>
                <w14:textFill>
                  <w14:solidFill>
                    <w14:schemeClr w14:val="tx1"/>
                  </w14:solidFill>
                </w14:textFill>
              </w:rPr>
            </w:pPr>
          </w:p>
        </w:tc>
        <w:tc>
          <w:tcPr>
            <w:tcW w:w="2156" w:type="dxa"/>
            <w:vMerge w:val="continue"/>
            <w:tcBorders>
              <w:top w:val="single" w:color="auto" w:sz="6" w:space="0"/>
              <w:left w:val="single" w:color="auto" w:sz="2" w:space="0"/>
              <w:bottom w:val="single" w:color="auto" w:sz="6" w:space="0"/>
              <w:right w:val="single" w:color="auto" w:sz="2" w:space="0"/>
            </w:tcBorders>
            <w:vAlign w:val="center"/>
          </w:tcPr>
          <w:p>
            <w:pPr>
              <w:rPr>
                <w:rFonts w:ascii="宋体" w:hAnsi="宋体" w:cs="宋体"/>
                <w:bCs/>
                <w:color w:val="000000" w:themeColor="text1"/>
                <w:kern w:val="2"/>
                <w14:textFill>
                  <w14:solidFill>
                    <w14:schemeClr w14:val="tx1"/>
                  </w14:solidFill>
                </w14:textFill>
              </w:rPr>
            </w:pPr>
          </w:p>
        </w:tc>
        <w:tc>
          <w:tcPr>
            <w:tcW w:w="1125" w:type="dxa"/>
            <w:tcBorders>
              <w:top w:val="single" w:color="auto" w:sz="6" w:space="0"/>
              <w:left w:val="single" w:color="auto" w:sz="2" w:space="0"/>
              <w:bottom w:val="single" w:color="auto" w:sz="6" w:space="0"/>
              <w:right w:val="single" w:color="auto" w:sz="6" w:space="0"/>
            </w:tcBorders>
            <w:vAlign w:val="center"/>
          </w:tcPr>
          <w:p>
            <w:pPr>
              <w:jc w:val="center"/>
              <w:rPr>
                <w:rFonts w:hint="eastAsia" w:ascii="宋体" w:hAnsi="宋体" w:cs="宋体"/>
                <w:b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风险承担能力水平</w:t>
            </w:r>
          </w:p>
        </w:tc>
        <w:tc>
          <w:tcPr>
            <w:tcW w:w="84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5</w:t>
            </w:r>
            <w:r>
              <w:rPr>
                <w:rFonts w:hint="eastAsia" w:ascii="宋体" w:hAnsi="宋体" w:eastAsia="宋体" w:cs="宋体"/>
                <w:bCs/>
                <w:color w:val="000000" w:themeColor="text1"/>
                <w14:textFill>
                  <w14:solidFill>
                    <w14:schemeClr w14:val="tx1"/>
                  </w14:solidFill>
                </w14:textFill>
              </w:rPr>
              <w:t>分</w:t>
            </w:r>
          </w:p>
        </w:tc>
        <w:tc>
          <w:tcPr>
            <w:tcW w:w="5984" w:type="dxa"/>
            <w:tcBorders>
              <w:top w:val="single" w:color="auto" w:sz="6" w:space="0"/>
              <w:left w:val="single" w:color="auto" w:sz="6" w:space="0"/>
              <w:bottom w:val="single" w:color="auto" w:sz="6" w:space="0"/>
              <w:right w:val="single" w:color="auto" w:sz="2" w:space="0"/>
            </w:tcBorders>
            <w:vAlign w:val="center"/>
          </w:tcPr>
          <w:p>
            <w:pPr>
              <w:rPr>
                <w:rFonts w:hint="eastAsia" w:ascii="宋体" w:hAnsi="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第一档，</w:t>
            </w:r>
            <w:r>
              <w:rPr>
                <w:rFonts w:hint="eastAsia" w:ascii="宋体" w:hAnsi="宋体" w:eastAsia="宋体" w:cs="宋体"/>
                <w:color w:val="000000" w:themeColor="text1"/>
                <w14:textFill>
                  <w14:solidFill>
                    <w14:schemeClr w14:val="tx1"/>
                  </w14:solidFill>
                </w14:textFill>
              </w:rPr>
              <w:t>风险承担能力水平</w:t>
            </w:r>
            <w:r>
              <w:rPr>
                <w:rFonts w:hint="eastAsia" w:ascii="宋体" w:hAnsi="宋体" w:eastAsia="宋体" w:cs="宋体"/>
                <w:bCs/>
                <w:color w:val="000000" w:themeColor="text1"/>
                <w14:textFill>
                  <w14:solidFill>
                    <w14:schemeClr w14:val="tx1"/>
                  </w14:solidFill>
                </w14:textFill>
              </w:rPr>
              <w:t>系统全面、科学合理，得</w:t>
            </w:r>
            <w:r>
              <w:rPr>
                <w:rFonts w:hint="eastAsia" w:ascii="宋体" w:hAnsi="宋体" w:cs="宋体"/>
                <w:bCs/>
                <w:color w:val="000000" w:themeColor="text1"/>
                <w14:textFill>
                  <w14:solidFill>
                    <w14:schemeClr w14:val="tx1"/>
                  </w14:solidFill>
                </w14:textFill>
              </w:rPr>
              <w:t>4-5</w:t>
            </w:r>
            <w:r>
              <w:rPr>
                <w:rFonts w:hint="eastAsia" w:ascii="宋体" w:hAnsi="宋体" w:eastAsia="宋体" w:cs="宋体"/>
                <w:bCs/>
                <w:color w:val="000000" w:themeColor="text1"/>
                <w14:textFill>
                  <w14:solidFill>
                    <w14:schemeClr w14:val="tx1"/>
                  </w14:solidFill>
                </w14:textFill>
              </w:rPr>
              <w:t>分；</w:t>
            </w:r>
          </w:p>
          <w:p>
            <w:pPr>
              <w:rPr>
                <w:rFonts w:hint="eastAsia" w:ascii="宋体" w:hAnsi="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第二档，</w:t>
            </w:r>
            <w:r>
              <w:rPr>
                <w:rFonts w:hint="eastAsia" w:ascii="宋体" w:hAnsi="宋体" w:eastAsia="宋体" w:cs="宋体"/>
                <w:color w:val="000000" w:themeColor="text1"/>
                <w14:textFill>
                  <w14:solidFill>
                    <w14:schemeClr w14:val="tx1"/>
                  </w14:solidFill>
                </w14:textFill>
              </w:rPr>
              <w:t>风险承担能力水平</w:t>
            </w:r>
            <w:r>
              <w:rPr>
                <w:rFonts w:hint="eastAsia" w:ascii="宋体" w:hAnsi="宋体" w:eastAsia="宋体" w:cs="宋体"/>
                <w:bCs/>
                <w:color w:val="000000" w:themeColor="text1"/>
                <w14:textFill>
                  <w14:solidFill>
                    <w14:schemeClr w14:val="tx1"/>
                  </w14:solidFill>
                </w14:textFill>
              </w:rPr>
              <w:t>较完整、较科学，得</w:t>
            </w:r>
            <w:r>
              <w:rPr>
                <w:rFonts w:hint="eastAsia" w:ascii="宋体" w:hAnsi="宋体" w:cs="宋体"/>
                <w:bCs/>
                <w:color w:val="000000" w:themeColor="text1"/>
                <w14:textFill>
                  <w14:solidFill>
                    <w14:schemeClr w14:val="tx1"/>
                  </w14:solidFill>
                </w14:textFill>
              </w:rPr>
              <w:t>3-4</w:t>
            </w:r>
            <w:r>
              <w:rPr>
                <w:rFonts w:hint="eastAsia" w:ascii="宋体" w:hAnsi="宋体" w:eastAsia="宋体" w:cs="宋体"/>
                <w:bCs/>
                <w:color w:val="000000" w:themeColor="text1"/>
                <w14:textFill>
                  <w14:solidFill>
                    <w14:schemeClr w14:val="tx1"/>
                  </w14:solidFill>
                </w14:textFill>
              </w:rPr>
              <w:t>分；</w:t>
            </w:r>
          </w:p>
          <w:p>
            <w:pPr>
              <w:rPr>
                <w:rFonts w:hint="eastAsia" w:ascii="宋体" w:hAnsi="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第三档，</w:t>
            </w:r>
            <w:r>
              <w:rPr>
                <w:rFonts w:hint="eastAsia" w:ascii="宋体" w:hAnsi="宋体" w:eastAsia="宋体" w:cs="宋体"/>
                <w:color w:val="000000" w:themeColor="text1"/>
                <w14:textFill>
                  <w14:solidFill>
                    <w14:schemeClr w14:val="tx1"/>
                  </w14:solidFill>
                </w14:textFill>
              </w:rPr>
              <w:t>风险承担能力水平</w:t>
            </w:r>
            <w:r>
              <w:rPr>
                <w:rFonts w:hint="eastAsia" w:ascii="宋体" w:hAnsi="宋体" w:eastAsia="宋体" w:cs="宋体"/>
                <w:bCs/>
                <w:color w:val="000000" w:themeColor="text1"/>
                <w14:textFill>
                  <w14:solidFill>
                    <w14:schemeClr w14:val="tx1"/>
                  </w14:solidFill>
                </w14:textFill>
              </w:rPr>
              <w:t>基本完整或基本合理，得</w:t>
            </w:r>
            <w:r>
              <w:rPr>
                <w:rFonts w:hint="eastAsia" w:ascii="宋体" w:hAnsi="宋体" w:cs="宋体"/>
                <w:bCs/>
                <w:color w:val="000000" w:themeColor="text1"/>
                <w14:textFill>
                  <w14:solidFill>
                    <w14:schemeClr w14:val="tx1"/>
                  </w14:solidFill>
                </w14:textFill>
              </w:rPr>
              <w:t>3</w:t>
            </w:r>
            <w:r>
              <w:rPr>
                <w:rFonts w:hint="eastAsia" w:ascii="宋体" w:hAnsi="宋体" w:eastAsia="宋体" w:cs="宋体"/>
                <w:bCs/>
                <w:color w:val="000000" w:themeColor="text1"/>
                <w14:textFill>
                  <w14:solidFill>
                    <w14:schemeClr w14:val="tx1"/>
                  </w14:solidFill>
                </w14:textFill>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708" w:hRule="atLeast"/>
          <w:jc w:val="center"/>
        </w:trPr>
        <w:tc>
          <w:tcPr>
            <w:tcW w:w="735" w:type="dxa"/>
            <w:tcBorders>
              <w:top w:val="single" w:color="auto" w:sz="6" w:space="0"/>
              <w:left w:val="single" w:color="auto" w:sz="2" w:space="0"/>
              <w:bottom w:val="single" w:color="auto" w:sz="6" w:space="0"/>
              <w:right w:val="single" w:color="auto" w:sz="2" w:space="0"/>
            </w:tcBorders>
            <w:vAlign w:val="center"/>
          </w:tcPr>
          <w:p>
            <w:pPr>
              <w:ind w:firstLine="157"/>
              <w:jc w:val="center"/>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w w:val="90"/>
                <w14:textFill>
                  <w14:solidFill>
                    <w14:schemeClr w14:val="tx1"/>
                  </w14:solidFill>
                </w14:textFill>
              </w:rPr>
              <w:t>2.2.4</w:t>
            </w:r>
            <w:r>
              <w:rPr>
                <w:rFonts w:hint="eastAsia" w:ascii="宋体" w:hAnsi="宋体" w:eastAsia="宋体" w:cs="宋体"/>
                <w:bCs/>
                <w:color w:val="000000" w:themeColor="text1"/>
                <w:w w:val="90"/>
                <w14:textFill>
                  <w14:solidFill>
                    <w14:schemeClr w14:val="tx1"/>
                  </w14:solidFill>
                </w14:textFill>
              </w:rPr>
              <w:t>（</w:t>
            </w:r>
            <w:r>
              <w:rPr>
                <w:rFonts w:hint="eastAsia" w:ascii="宋体" w:hAnsi="宋体" w:cs="宋体"/>
                <w:bCs/>
                <w:color w:val="000000" w:themeColor="text1"/>
                <w:w w:val="90"/>
                <w14:textFill>
                  <w14:solidFill>
                    <w14:schemeClr w14:val="tx1"/>
                  </w14:solidFill>
                </w14:textFill>
              </w:rPr>
              <w:t>5</w:t>
            </w:r>
            <w:r>
              <w:rPr>
                <w:rFonts w:hint="eastAsia" w:ascii="宋体" w:hAnsi="宋体" w:eastAsia="宋体" w:cs="宋体"/>
                <w:bCs/>
                <w:color w:val="000000" w:themeColor="text1"/>
                <w:w w:val="90"/>
                <w14:textFill>
                  <w14:solidFill>
                    <w14:schemeClr w14:val="tx1"/>
                  </w14:solidFill>
                </w14:textFill>
              </w:rPr>
              <w:t>）</w:t>
            </w:r>
          </w:p>
        </w:tc>
        <w:tc>
          <w:tcPr>
            <w:tcW w:w="2156" w:type="dxa"/>
            <w:gridSpan w:val="2"/>
            <w:tcBorders>
              <w:top w:val="single" w:color="auto" w:sz="6" w:space="0"/>
              <w:left w:val="single" w:color="auto" w:sz="2" w:space="0"/>
              <w:bottom w:val="single" w:color="auto" w:sz="6" w:space="0"/>
              <w:right w:val="single" w:color="auto" w:sz="6" w:space="0"/>
            </w:tcBorders>
            <w:vAlign w:val="center"/>
          </w:tcPr>
          <w:p>
            <w:pPr>
              <w:jc w:val="center"/>
              <w:rPr>
                <w:rFonts w:hint="eastAsia" w:ascii="宋体" w:hAnsi="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评标价（</w:t>
            </w:r>
            <w:r>
              <w:rPr>
                <w:rFonts w:hint="eastAsia" w:ascii="宋体" w:hAnsi="宋体" w:cs="宋体"/>
                <w:bCs/>
                <w:color w:val="000000" w:themeColor="text1"/>
                <w14:textFill>
                  <w14:solidFill>
                    <w14:schemeClr w14:val="tx1"/>
                  </w14:solidFill>
                </w14:textFill>
              </w:rPr>
              <w:t>10</w:t>
            </w:r>
            <w:r>
              <w:rPr>
                <w:rFonts w:hint="eastAsia" w:ascii="宋体" w:hAnsi="宋体" w:eastAsia="宋体" w:cs="宋体"/>
                <w:bCs/>
                <w:color w:val="000000" w:themeColor="text1"/>
                <w14:textFill>
                  <w14:solidFill>
                    <w14:schemeClr w14:val="tx1"/>
                  </w14:solidFill>
                </w14:textFill>
              </w:rPr>
              <w:t>分）</w:t>
            </w:r>
          </w:p>
        </w:tc>
        <w:tc>
          <w:tcPr>
            <w:tcW w:w="84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10</w:t>
            </w:r>
            <w:r>
              <w:rPr>
                <w:rFonts w:hint="eastAsia" w:ascii="宋体" w:hAnsi="宋体" w:eastAsia="宋体" w:cs="宋体"/>
                <w:bCs/>
                <w:color w:val="000000" w:themeColor="text1"/>
                <w14:textFill>
                  <w14:solidFill>
                    <w14:schemeClr w14:val="tx1"/>
                  </w14:solidFill>
                </w14:textFill>
              </w:rPr>
              <w:t>分</w:t>
            </w:r>
          </w:p>
        </w:tc>
        <w:tc>
          <w:tcPr>
            <w:tcW w:w="5984" w:type="dxa"/>
            <w:tcBorders>
              <w:top w:val="single" w:color="auto" w:sz="6" w:space="0"/>
              <w:left w:val="single" w:color="auto" w:sz="6" w:space="0"/>
              <w:bottom w:val="single" w:color="auto" w:sz="6" w:space="0"/>
              <w:right w:val="single" w:color="auto" w:sz="2" w:space="0"/>
            </w:tcBorders>
            <w:vAlign w:val="center"/>
          </w:tcPr>
          <w:p>
            <w:pPr>
              <w:rPr>
                <w:rFonts w:hint="eastAsia" w:ascii="宋体" w:hAnsi="宋体" w:cs="Times New Roman"/>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评标价得分计算公式示例：</w:t>
            </w:r>
          </w:p>
          <w:p>
            <w:pPr>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评标价得分＝（</w:t>
            </w:r>
            <w:r>
              <w:rPr>
                <w:rFonts w:hint="eastAsia" w:ascii="宋体" w:hAnsi="宋体"/>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基准价</w:t>
            </w:r>
            <w:r>
              <w:rPr>
                <w:rFonts w:hint="eastAsia" w:ascii="宋体" w:hAnsi="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报价</w:t>
            </w:r>
            <w:r>
              <w:rPr>
                <w:rFonts w:hint="eastAsia" w:ascii="宋体" w:hAnsi="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基准价）</w:t>
            </w:r>
            <w:r>
              <w:rPr>
                <w:rFonts w:hint="eastAsia" w:ascii="宋体" w:hAnsi="宋体"/>
                <w:color w:val="000000" w:themeColor="text1"/>
                <w14:textFill>
                  <w14:solidFill>
                    <w14:schemeClr w14:val="tx1"/>
                  </w14:solidFill>
                </w14:textFill>
              </w:rPr>
              <w:t>*10</w:t>
            </w:r>
            <w:r>
              <w:rPr>
                <w:rFonts w:hint="eastAsia" w:ascii="宋体" w:hAnsi="宋体" w:eastAsia="宋体" w:cs="宋体"/>
                <w:color w:val="000000" w:themeColor="text1"/>
                <w14:textFill>
                  <w14:solidFill>
                    <w14:schemeClr w14:val="tx1"/>
                  </w14:solidFill>
                </w14:textFill>
              </w:rPr>
              <w:t>。</w:t>
            </w:r>
          </w:p>
          <w:p>
            <w:pPr>
              <w:rPr>
                <w:rFonts w:hint="eastAsia" w:ascii="宋体" w:hAnsi="宋体"/>
                <w:color w:val="000000" w:themeColor="text1"/>
                <w:szCs w:val="2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评标价最低得分为</w:t>
            </w:r>
            <w:r>
              <w:rPr>
                <w:rFonts w:hint="eastAsia" w:ascii="宋体" w:hAnsi="宋体"/>
                <w:color w:val="000000" w:themeColor="text1"/>
                <w14:textFill>
                  <w14:solidFill>
                    <w14:schemeClr w14:val="tx1"/>
                  </w14:solidFill>
                </w14:textFill>
              </w:rPr>
              <w:t>0</w:t>
            </w:r>
            <w:r>
              <w:rPr>
                <w:rFonts w:hint="eastAsia" w:ascii="宋体" w:hAnsi="宋体" w:eastAsia="宋体" w:cs="宋体"/>
                <w:color w:val="000000" w:themeColor="text1"/>
                <w14:textFill>
                  <w14:solidFill>
                    <w14:schemeClr w14:val="tx1"/>
                  </w14:solidFill>
                </w14:textFill>
              </w:rPr>
              <w:t>分，评标价得分保留两位小数，第三位四舍五入。</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05" w:hRule="atLeast"/>
          <w:jc w:val="center"/>
        </w:trPr>
        <w:tc>
          <w:tcPr>
            <w:tcW w:w="2891" w:type="dxa"/>
            <w:gridSpan w:val="3"/>
            <w:tcBorders>
              <w:top w:val="single" w:color="auto" w:sz="6" w:space="0"/>
              <w:left w:val="single" w:color="auto" w:sz="2" w:space="0"/>
              <w:bottom w:val="single" w:color="auto" w:sz="2" w:space="0"/>
              <w:right w:val="single" w:color="auto" w:sz="6" w:space="0"/>
            </w:tcBorders>
            <w:vAlign w:val="center"/>
          </w:tcPr>
          <w:p>
            <w:pPr>
              <w:jc w:val="center"/>
              <w:rPr>
                <w:rFonts w:hint="eastAsia" w:ascii="宋体" w:hAnsi="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合计</w:t>
            </w:r>
          </w:p>
        </w:tc>
        <w:tc>
          <w:tcPr>
            <w:tcW w:w="843" w:type="dxa"/>
            <w:tcBorders>
              <w:top w:val="single" w:color="auto" w:sz="6" w:space="0"/>
              <w:left w:val="single" w:color="auto" w:sz="6" w:space="0"/>
              <w:bottom w:val="single" w:color="auto" w:sz="2" w:space="0"/>
              <w:right w:val="single" w:color="auto" w:sz="6" w:space="0"/>
            </w:tcBorders>
            <w:vAlign w:val="center"/>
          </w:tcPr>
          <w:p>
            <w:pPr>
              <w:jc w:val="center"/>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100</w:t>
            </w:r>
            <w:r>
              <w:rPr>
                <w:rFonts w:hint="eastAsia" w:ascii="宋体" w:hAnsi="宋体" w:eastAsia="宋体" w:cs="宋体"/>
                <w:bCs/>
                <w:color w:val="000000" w:themeColor="text1"/>
                <w14:textFill>
                  <w14:solidFill>
                    <w14:schemeClr w14:val="tx1"/>
                  </w14:solidFill>
                </w14:textFill>
              </w:rPr>
              <w:t>分</w:t>
            </w:r>
          </w:p>
        </w:tc>
        <w:tc>
          <w:tcPr>
            <w:tcW w:w="5984" w:type="dxa"/>
            <w:tcBorders>
              <w:top w:val="single" w:color="auto" w:sz="6" w:space="0"/>
              <w:left w:val="single" w:color="auto" w:sz="6" w:space="0"/>
              <w:bottom w:val="single" w:color="auto" w:sz="2" w:space="0"/>
              <w:right w:val="single" w:color="auto" w:sz="2" w:space="0"/>
            </w:tcBorders>
            <w:vAlign w:val="center"/>
          </w:tcPr>
          <w:p>
            <w:pPr>
              <w:jc w:val="center"/>
              <w:rPr>
                <w:rFonts w:hint="eastAsia" w:ascii="宋体" w:hAnsi="宋体" w:cs="宋体"/>
                <w:bCs/>
                <w:color w:val="000000" w:themeColor="text1"/>
                <w14:textFill>
                  <w14:solidFill>
                    <w14:schemeClr w14:val="tx1"/>
                  </w14:solidFill>
                </w14:textFill>
              </w:rPr>
            </w:pPr>
          </w:p>
        </w:tc>
      </w:tr>
    </w:tbl>
    <w:p>
      <w:pPr>
        <w:spacing w:line="312" w:lineRule="auto"/>
        <w:rPr>
          <w:rFonts w:hint="eastAsia" w:ascii="宋体" w:hAnsi="宋体" w:cs="Times New Roman"/>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w:t>
      </w:r>
      <w:r>
        <w:rPr>
          <w:rFonts w:hint="eastAsia" w:ascii="宋体" w:hAnsi="宋体"/>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、各分项得分为各评委打分算术平均值，评委打分平均值保留两位小数，第三位四舍五入。</w:t>
      </w:r>
    </w:p>
    <w:p>
      <w:pPr>
        <w:spacing w:line="312" w:lineRule="auto"/>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、服务方案缺项则该项得</w:t>
      </w:r>
      <w:r>
        <w:rPr>
          <w:rFonts w:hint="eastAsia" w:ascii="宋体" w:hAnsi="宋体"/>
          <w:color w:val="000000" w:themeColor="text1"/>
          <w14:textFill>
            <w14:solidFill>
              <w14:schemeClr w14:val="tx1"/>
            </w14:solidFill>
          </w14:textFill>
        </w:rPr>
        <w:t>0</w:t>
      </w:r>
      <w:r>
        <w:rPr>
          <w:rFonts w:hint="eastAsia" w:ascii="宋体" w:hAnsi="宋体" w:eastAsia="宋体" w:cs="宋体"/>
          <w:color w:val="000000" w:themeColor="text1"/>
          <w14:textFill>
            <w14:solidFill>
              <w14:schemeClr w14:val="tx1"/>
            </w14:solidFill>
          </w14:textFill>
        </w:rPr>
        <w:t>分。</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0770769"/>
      <w:docPartObj>
        <w:docPartGallery w:val="AutoText"/>
      </w:docPartObj>
    </w:sdtPr>
    <w:sdtContent>
      <w:p>
        <w:pPr>
          <w:pStyle w:val="5"/>
          <w:jc w:val="center"/>
        </w:pPr>
        <w:r>
          <w:fldChar w:fldCharType="begin"/>
        </w:r>
        <w:r>
          <w:instrText xml:space="preserve">PAGE   \* MERGEFORMAT</w:instrText>
        </w:r>
        <w:r>
          <w:fldChar w:fldCharType="separate"/>
        </w:r>
        <w:r>
          <w:rPr>
            <w:lang w:val="zh-CN" w:eastAsia="zh-CN"/>
          </w:rPr>
          <w:t>2</w:t>
        </w:r>
        <w:r>
          <w:fldChar w:fldCharType="end"/>
        </w:r>
      </w:p>
    </w:sdtContent>
  </w:sdt>
  <w:p>
    <w:pPr>
      <w:spacing w:line="167" w:lineRule="auto"/>
      <w:ind w:left="4128"/>
      <w:rPr>
        <w:rFonts w:ascii="Calibri" w:hAnsi="Calibri" w:eastAsia="Calibri" w:cs="Calibri"/>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MmIzNmM0MmQzNmQxNDU2NDNjZTJkYzZkYzZlNjcifQ=="/>
  </w:docVars>
  <w:rsids>
    <w:rsidRoot w:val="00651A12"/>
    <w:rsid w:val="00130074"/>
    <w:rsid w:val="003E6C73"/>
    <w:rsid w:val="00651A12"/>
    <w:rsid w:val="00733AFF"/>
    <w:rsid w:val="7FC71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link w:val="11"/>
    <w:autoRedefine/>
    <w:semiHidden/>
    <w:unhideWhenUsed/>
    <w:qFormat/>
    <w:uiPriority w:val="9"/>
    <w:pPr>
      <w:keepNext/>
      <w:keepLines/>
      <w:widowControl w:val="0"/>
      <w:kinsoku/>
      <w:autoSpaceDE/>
      <w:autoSpaceDN/>
      <w:adjustRightInd/>
      <w:snapToGrid/>
      <w:spacing w:before="260" w:after="260" w:line="415" w:lineRule="auto"/>
      <w:jc w:val="both"/>
      <w:textAlignment w:val="auto"/>
      <w:outlineLvl w:val="1"/>
    </w:pPr>
    <w:rPr>
      <w:rFonts w:ascii="等线 Light" w:hAnsi="等线 Light" w:eastAsia="等线 Light" w:cs="宋体"/>
      <w:b/>
      <w:snapToGrid/>
      <w:color w:val="auto"/>
      <w:sz w:val="32"/>
      <w:szCs w:val="20"/>
      <w:lang w:eastAsia="zh-CN"/>
    </w:rPr>
  </w:style>
  <w:style w:type="paragraph" w:styleId="3">
    <w:name w:val="heading 3"/>
    <w:basedOn w:val="1"/>
    <w:next w:val="1"/>
    <w:link w:val="12"/>
    <w:autoRedefine/>
    <w:semiHidden/>
    <w:unhideWhenUsed/>
    <w:qFormat/>
    <w:uiPriority w:val="0"/>
    <w:pPr>
      <w:keepNext/>
      <w:keepLines/>
      <w:widowControl w:val="0"/>
      <w:kinsoku/>
      <w:autoSpaceDE/>
      <w:autoSpaceDN/>
      <w:adjustRightInd/>
      <w:snapToGrid/>
      <w:spacing w:before="260" w:after="260" w:line="415" w:lineRule="auto"/>
      <w:jc w:val="both"/>
      <w:textAlignment w:val="auto"/>
      <w:outlineLvl w:val="2"/>
    </w:pPr>
    <w:rPr>
      <w:rFonts w:ascii="Times New Roman" w:hAnsi="Times New Roman" w:eastAsia="宋体" w:cs="Times New Roman"/>
      <w:b/>
      <w:snapToGrid/>
      <w:color w:val="auto"/>
      <w:sz w:val="32"/>
      <w:szCs w:val="20"/>
      <w:lang w:eastAsia="zh-CN"/>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link w:val="8"/>
    <w:autoRedefine/>
    <w:semiHidden/>
    <w:qFormat/>
    <w:uiPriority w:val="0"/>
    <w:rPr>
      <w:rFonts w:ascii="仿宋" w:hAnsi="仿宋" w:eastAsia="仿宋" w:cs="仿宋"/>
      <w:sz w:val="28"/>
      <w:szCs w:val="28"/>
    </w:rPr>
  </w:style>
  <w:style w:type="paragraph" w:styleId="5">
    <w:name w:val="footer"/>
    <w:basedOn w:val="1"/>
    <w:link w:val="9"/>
    <w:autoRedefine/>
    <w:qFormat/>
    <w:uiPriority w:val="99"/>
    <w:pPr>
      <w:tabs>
        <w:tab w:val="center" w:pos="4153"/>
        <w:tab w:val="right" w:pos="8306"/>
      </w:tabs>
    </w:pPr>
    <w:rPr>
      <w:sz w:val="18"/>
      <w:szCs w:val="18"/>
    </w:rPr>
  </w:style>
  <w:style w:type="character" w:customStyle="1" w:styleId="8">
    <w:name w:val="正文文本 字符"/>
    <w:basedOn w:val="7"/>
    <w:link w:val="4"/>
    <w:autoRedefine/>
    <w:semiHidden/>
    <w:qFormat/>
    <w:uiPriority w:val="0"/>
    <w:rPr>
      <w:rFonts w:ascii="仿宋" w:hAnsi="仿宋" w:eastAsia="仿宋" w:cs="仿宋"/>
      <w:snapToGrid w:val="0"/>
      <w:color w:val="000000"/>
      <w:kern w:val="0"/>
      <w:sz w:val="28"/>
      <w:szCs w:val="28"/>
      <w:lang w:eastAsia="en-US"/>
    </w:rPr>
  </w:style>
  <w:style w:type="character" w:customStyle="1" w:styleId="9">
    <w:name w:val="页脚 字符"/>
    <w:basedOn w:val="7"/>
    <w:link w:val="5"/>
    <w:autoRedefine/>
    <w:qFormat/>
    <w:uiPriority w:val="99"/>
    <w:rPr>
      <w:rFonts w:ascii="Arial" w:hAnsi="Arial" w:eastAsia="Arial" w:cs="Arial"/>
      <w:snapToGrid w:val="0"/>
      <w:color w:val="000000"/>
      <w:kern w:val="0"/>
      <w:sz w:val="18"/>
      <w:szCs w:val="18"/>
      <w:lang w:eastAsia="en-US"/>
    </w:rPr>
  </w:style>
  <w:style w:type="paragraph" w:customStyle="1" w:styleId="10">
    <w:name w:val="Table Text"/>
    <w:basedOn w:val="1"/>
    <w:autoRedefine/>
    <w:semiHidden/>
    <w:qFormat/>
    <w:uiPriority w:val="0"/>
    <w:rPr>
      <w:rFonts w:ascii="仿宋" w:hAnsi="仿宋" w:eastAsia="仿宋" w:cs="仿宋"/>
    </w:rPr>
  </w:style>
  <w:style w:type="character" w:customStyle="1" w:styleId="11">
    <w:name w:val="标题 2 字符"/>
    <w:basedOn w:val="7"/>
    <w:link w:val="2"/>
    <w:autoRedefine/>
    <w:semiHidden/>
    <w:qFormat/>
    <w:uiPriority w:val="9"/>
    <w:rPr>
      <w:rFonts w:ascii="等线 Light" w:hAnsi="等线 Light" w:eastAsia="等线 Light" w:cs="宋体"/>
      <w:b/>
      <w:kern w:val="0"/>
      <w:sz w:val="32"/>
      <w:szCs w:val="20"/>
    </w:rPr>
  </w:style>
  <w:style w:type="character" w:customStyle="1" w:styleId="12">
    <w:name w:val="标题 3 字符"/>
    <w:basedOn w:val="7"/>
    <w:link w:val="3"/>
    <w:autoRedefine/>
    <w:semiHidden/>
    <w:qFormat/>
    <w:uiPriority w:val="0"/>
    <w:rPr>
      <w:rFonts w:ascii="Times New Roman" w:hAnsi="Times New Roman" w:eastAsia="宋体" w:cs="Times New Roman"/>
      <w:b/>
      <w:kern w:val="0"/>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9</Pages>
  <Words>958</Words>
  <Characters>5465</Characters>
  <Lines>45</Lines>
  <Paragraphs>12</Paragraphs>
  <TotalTime>0</TotalTime>
  <ScaleCrop>false</ScaleCrop>
  <LinksUpToDate>false</LinksUpToDate>
  <CharactersWithSpaces>6411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2024-03-15T09:53:00Z</dcterms:created>
  <dc:creator>li</dc:creator>
  <cp:lastModifiedBy>李娜</cp:lastModifiedBy>
  <dcterms:modified xsi:type="dcterms:W3CDTF">2024-04-10T03:58:26Z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46681B14FE5242558D63F5E7A820F087_12</vt:lpwstr>
  </property>
</Properties>
</file>